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theme/theme1.xml" ContentType="application/vnd.openxmlformats-officedocument.theme+xml"/>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6D59A">
      <w:pPr>
        <w:jc w:val="center"/>
        <w:rPr>
          <w:rFonts w:hint="eastAsia"/>
          <w:b/>
          <w:bCs/>
          <w:sz w:val="32"/>
          <w:szCs w:val="40"/>
          <w:lang w:val="en-US" w:eastAsia="zh-CN"/>
        </w:rPr>
      </w:pPr>
      <w:r>
        <w:rPr>
          <w:rFonts w:hint="eastAsia"/>
          <w:b/>
          <w:bCs/>
          <w:sz w:val="32"/>
          <w:szCs w:val="40"/>
          <w:lang w:val="en-US" w:eastAsia="zh-CN"/>
        </w:rPr>
        <w:t>同性伴侣家庭权利案例的司法裁判现状</w:t>
      </w:r>
    </w:p>
    <w:p w14:paraId="1DD45AB7">
      <w:pPr>
        <w:keepNext w:val="0"/>
        <w:keepLines w:val="0"/>
        <w:pageBreakBefore w:val="0"/>
        <w:widowControl w:val="0"/>
        <w:kinsoku/>
        <w:wordWrap/>
        <w:overflowPunct/>
        <w:topLinePunct w:val="0"/>
        <w:autoSpaceDE/>
        <w:autoSpaceDN/>
        <w:bidi w:val="0"/>
        <w:adjustRightInd w:val="0"/>
        <w:snapToGrid w:val="0"/>
        <w:spacing w:line="360" w:lineRule="auto"/>
        <w:ind w:firstLine="561" w:firstLineChars="2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一、研究的概况</w:t>
      </w:r>
    </w:p>
    <w:p w14:paraId="04D3E4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（一）数据的来源</w:t>
      </w:r>
    </w:p>
    <w:p w14:paraId="4E046A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《中国 LGBT 相关司法案例研究报告》统计分析了1024例LGBT相关的司法案例，并归纳总结了案例的种类和特点，展现了中国2000年至2020年间司法实务中 LGBT 相关案例的整体现状。该报告以“同性恋”“同性关系”“同性性行为”“同性性关系”“变性人”“跨性别”“双性人”“间性人”“阴阳人”“性少数群体”“性取向”“性倾向”“性别认同”等13 个关键词在“北大法宝”司法案例数据库，并对案例进行筛选，最终确定了该研究报告中的1024例案例。</w:t>
      </w:r>
    </w:p>
    <w:p w14:paraId="512B11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本研究选取其中91例同性伴侣财产纠纷和18例抚养权和探视权纠纷的案例进行了深入分析与研究。</w:t>
      </w:r>
    </w:p>
    <w:p w14:paraId="30BAD2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（二）数据的概况</w:t>
      </w:r>
    </w:p>
    <w:p w14:paraId="12A33A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1.案例的年份分布</w:t>
      </w:r>
    </w:p>
    <w:p w14:paraId="0CCE179B">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宋体" w:hAnsi="宋体" w:eastAsia="宋体" w:cs="宋体"/>
          <w:sz w:val="24"/>
          <w:szCs w:val="24"/>
          <w:lang w:val="en-US" w:eastAsia="zh-CN"/>
        </w:rPr>
      </w:pPr>
    </w:p>
    <w:p w14:paraId="0F0F1EA9">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56530" cy="2988310"/>
            <wp:effectExtent l="6350" t="6350" r="20320" b="279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49F3A7C">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lang w:val="en-US" w:eastAsia="zh-CN"/>
        </w:rPr>
      </w:pPr>
    </w:p>
    <w:p w14:paraId="4BDF71F1">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56530" cy="2988310"/>
            <wp:effectExtent l="6350" t="6350" r="20320" b="2794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F4857B0">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2.案例的地域分布</w:t>
      </w:r>
    </w:p>
    <w:p w14:paraId="76BA2A8B">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lang w:val="en-US" w:eastAsia="zh-CN"/>
        </w:rPr>
      </w:pPr>
    </w:p>
    <w:p w14:paraId="5BCFBBFC">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56530" cy="5437505"/>
            <wp:effectExtent l="6350" t="6350" r="2032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528F2C2">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lang w:val="en-US" w:eastAsia="zh-CN"/>
        </w:rPr>
      </w:pPr>
    </w:p>
    <w:p w14:paraId="597EA7ED">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5256530" cy="2988310"/>
            <wp:effectExtent l="6350" t="6350" r="20320" b="2794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C0D5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3.案例的案由分布</w:t>
      </w:r>
    </w:p>
    <w:p w14:paraId="6B85AF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性伴侣财产纠纷的案由分布：合同、无因管理、不当得利为69个（民间借贷纠纷为53个，赠与合同纠纷为5个，房屋租赁合同纠纷为2个，保管合同纠纷为2个，合伙协议纠纷为1个，其他纠纷为6个），物权纠纷为21个，侵权责任纠纷为1个。</w:t>
      </w:r>
    </w:p>
    <w:p w14:paraId="26E921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抚养权和探视权纠纷的案由分布：18例案例全部分布在婚姻家庭、继承纠纷的案由下，具体是：离婚纠纷11个，同居关系纠纷1个，抚养纠纷5个，探视权纠纷1个。</w:t>
      </w:r>
    </w:p>
    <w:p w14:paraId="2782DD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4.案例的性别和性倾向分布</w:t>
      </w:r>
    </w:p>
    <w:p w14:paraId="2DFB79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在91例同性伴侣财产纠纷案例中，女同性伴侣的案例为48个，男同性伴侣的案例为30个，其余13个案例不清楚是女同性伴侣还是男同性伴侣。</w:t>
      </w:r>
    </w:p>
    <w:p w14:paraId="37D9D7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56530" cy="2988310"/>
            <wp:effectExtent l="6350" t="6350" r="20320" b="2794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20A7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p>
    <w:p w14:paraId="45D87E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5.案例的种类分布</w:t>
      </w:r>
    </w:p>
    <w:p w14:paraId="48F32C3B">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lang w:val="en-US" w:eastAsia="zh-CN"/>
        </w:rPr>
      </w:pPr>
    </w:p>
    <w:p w14:paraId="77A08AB1">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56530" cy="2988310"/>
            <wp:effectExtent l="6350" t="6350" r="20320" b="279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DBCA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备注：其中有1个案例同时涉及日常开销与转账纠纷和借贷纠纷，有2个案例同时涉及赠予纠纷和借贷纠纷。</w:t>
      </w:r>
    </w:p>
    <w:p w14:paraId="45CBDF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56530" cy="2988310"/>
            <wp:effectExtent l="6350" t="6350" r="20320" b="279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04E4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抚养权和探视权纠纷的种类：</w:t>
      </w:r>
      <w:r>
        <w:rPr>
          <w:rFonts w:hint="default" w:ascii="宋体" w:hAnsi="宋体" w:eastAsia="宋体" w:cs="宋体"/>
          <w:sz w:val="24"/>
          <w:szCs w:val="24"/>
          <w:lang w:val="en-US" w:eastAsia="zh-CN"/>
        </w:rPr>
        <w:t>同夫或同妻因对方同性恋性倾向而提出离婚，一方提出“同性恋不利于孩子成长”的主张</w:t>
      </w:r>
      <w:r>
        <w:rPr>
          <w:rFonts w:hint="eastAsia" w:ascii="宋体" w:hAnsi="宋体" w:eastAsia="宋体" w:cs="宋体"/>
          <w:sz w:val="24"/>
          <w:szCs w:val="24"/>
          <w:lang w:val="en-US" w:eastAsia="zh-CN"/>
        </w:rPr>
        <w:t>有8个</w:t>
      </w:r>
      <w:r>
        <w:rPr>
          <w:rFonts w:hint="default" w:ascii="宋体" w:hAnsi="宋体" w:eastAsia="宋体" w:cs="宋体"/>
          <w:sz w:val="24"/>
          <w:szCs w:val="24"/>
          <w:lang w:val="en-US" w:eastAsia="zh-CN"/>
        </w:rPr>
        <w:t>；一方以“同性恋不利于孩子成长”为由请求变更抚养权</w:t>
      </w:r>
      <w:r>
        <w:rPr>
          <w:rFonts w:hint="eastAsia" w:ascii="宋体" w:hAnsi="宋体" w:eastAsia="宋体" w:cs="宋体"/>
          <w:sz w:val="24"/>
          <w:szCs w:val="24"/>
          <w:lang w:val="en-US" w:eastAsia="zh-CN"/>
        </w:rPr>
        <w:t>有5个；</w:t>
      </w:r>
      <w:r>
        <w:rPr>
          <w:rFonts w:hint="default" w:ascii="宋体" w:hAnsi="宋体" w:eastAsia="宋体" w:cs="宋体"/>
          <w:sz w:val="24"/>
          <w:szCs w:val="24"/>
          <w:lang w:val="en-US" w:eastAsia="zh-CN"/>
        </w:rPr>
        <w:t>形婚</w:t>
      </w:r>
      <w:r>
        <w:rPr>
          <w:rFonts w:hint="eastAsia" w:ascii="宋体" w:hAnsi="宋体" w:eastAsia="宋体" w:cs="宋体"/>
          <w:sz w:val="24"/>
          <w:szCs w:val="24"/>
          <w:lang w:val="en-US" w:eastAsia="zh-CN"/>
        </w:rPr>
        <w:t>纠纷有4个；</w:t>
      </w:r>
      <w:r>
        <w:rPr>
          <w:rFonts w:hint="default" w:ascii="宋体" w:hAnsi="宋体" w:eastAsia="宋体" w:cs="宋体"/>
          <w:sz w:val="24"/>
          <w:szCs w:val="24"/>
          <w:lang w:val="en-US" w:eastAsia="zh-CN"/>
        </w:rPr>
        <w:t>离婚后，同性恋者请求确认探</w:t>
      </w:r>
      <w:r>
        <w:rPr>
          <w:rFonts w:hint="eastAsia" w:ascii="宋体" w:hAnsi="宋体" w:eastAsia="宋体" w:cs="宋体"/>
          <w:sz w:val="24"/>
          <w:szCs w:val="24"/>
          <w:lang w:val="en-US" w:eastAsia="zh-CN"/>
        </w:rPr>
        <w:t>视</w:t>
      </w:r>
      <w:r>
        <w:rPr>
          <w:rFonts w:hint="default" w:ascii="宋体" w:hAnsi="宋体" w:eastAsia="宋体" w:cs="宋体"/>
          <w:sz w:val="24"/>
          <w:szCs w:val="24"/>
          <w:lang w:val="en-US" w:eastAsia="zh-CN"/>
        </w:rPr>
        <w:t>权</w:t>
      </w:r>
      <w:r>
        <w:rPr>
          <w:rFonts w:hint="eastAsia" w:ascii="宋体" w:hAnsi="宋体" w:eastAsia="宋体" w:cs="宋体"/>
          <w:sz w:val="24"/>
          <w:szCs w:val="24"/>
          <w:lang w:val="en-US" w:eastAsia="zh-CN"/>
        </w:rPr>
        <w:t>有1个。</w:t>
      </w:r>
    </w:p>
    <w:p w14:paraId="4E3080D7">
      <w:pPr>
        <w:keepNext w:val="0"/>
        <w:keepLines w:val="0"/>
        <w:pageBreakBefore w:val="0"/>
        <w:widowControl w:val="0"/>
        <w:kinsoku/>
        <w:wordWrap/>
        <w:overflowPunct/>
        <w:topLinePunct w:val="0"/>
        <w:autoSpaceDE/>
        <w:autoSpaceDN/>
        <w:bidi w:val="0"/>
        <w:adjustRightInd w:val="0"/>
        <w:snapToGrid w:val="0"/>
        <w:spacing w:line="360" w:lineRule="auto"/>
        <w:ind w:firstLine="561"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b/>
          <w:bCs/>
          <w:sz w:val="28"/>
          <w:szCs w:val="28"/>
          <w:lang w:val="en-US" w:eastAsia="zh-CN"/>
        </w:rPr>
        <w:t>二、同性伴侣财产纠纷的裁判现状</w:t>
      </w:r>
    </w:p>
    <w:p w14:paraId="1910C5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（一）日常开销与转账纠纷</w:t>
      </w:r>
    </w:p>
    <w:p w14:paraId="668985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性伴侣在恋爱或同居期间，会产生大量的日常开销与彼此间的转账。在分手后，一方会主张金钱给付构成民间借贷而要求偿还借款或者构成不当得利要求返还，而另一方主张系同性伴侣共同生活期间的日常生活支出。</w:t>
      </w:r>
    </w:p>
    <w:p w14:paraId="096370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同居期间的日常花费，我国法律未对此进行规定。在司法实践中，关于异性伴侣共同生活期间的日常开销和转账纠纷，一般根据双方当事人间的约定进行处理，没有约定则按照常情常理和公平原则处理。但法院一般认为日常生活开销属于共同生活期间必然产生的费用，不构成民间借贷或不当得利。在此类案件中，双方当事人之间的关系是认定双方给付金钱时的真实意思表示的重要因素。因此，双方当事人之间的同性伴侣关系应受到法官的审查，并作为裁判的考量因素。</w:t>
      </w:r>
    </w:p>
    <w:p w14:paraId="2E6B46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司法实践中，对于17例同性伴侣间的日常开销与转账，多数法官在事实层面认定同性伴侣的恋爱或同居关系，进而认为在同性伴侣双方在恋爱或同居期间的经济往来属于正常，驳回原告将日常开销与转账认定为借款或不当得利的诉讼请求。</w:t>
      </w:r>
    </w:p>
    <w:p w14:paraId="3031B3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56530" cy="2988310"/>
            <wp:effectExtent l="6350" t="6350" r="20320" b="2794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41F2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p>
    <w:p w14:paraId="6952B3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典型案例如叶铮吻诉沈丹民间借贷纠纷</w:t>
      </w:r>
      <w:r>
        <w:rPr>
          <w:rStyle w:val="5"/>
          <w:rFonts w:hint="eastAsia" w:ascii="宋体" w:hAnsi="宋体" w:eastAsia="宋体" w:cs="宋体"/>
          <w:sz w:val="24"/>
          <w:szCs w:val="24"/>
          <w:lang w:val="en-US" w:eastAsia="zh-CN"/>
        </w:rPr>
        <w:footnoteReference w:id="0"/>
      </w:r>
      <w:r>
        <w:rPr>
          <w:rFonts w:hint="eastAsia" w:ascii="宋体" w:hAnsi="宋体" w:eastAsia="宋体" w:cs="宋体"/>
          <w:sz w:val="24"/>
          <w:szCs w:val="24"/>
          <w:lang w:val="en-US" w:eastAsia="zh-CN"/>
        </w:rPr>
        <w:t>一案，叶铮吻与沈丹在共同生活期间，叶铮吻多次向沈丹指定的支付宝账户转账共计207510元，沈丹亦多次向叶铮吻转账共计35120元。二人分手后，叶铮吻主张沈丹向其借款，沈丹抗辩叶铮吻向其转账系两人同性恋人关系存续期间共同生活、共同经营的支出。对此，法官认为，“叶铮吻和沈丹系同性恋人，身份关系特殊，双方租房共同生活一年多，沈丹亦提交证据证明其负责支付房屋租金、水电费，而共同生活期间必然产生包括租金、水电费以外的诸多费用”。因此，法官</w:t>
      </w:r>
      <w:r>
        <w:rPr>
          <w:rFonts w:ascii="宋体" w:hAnsi="宋体" w:eastAsia="宋体" w:cs="宋体"/>
          <w:color w:val="000000"/>
          <w:sz w:val="25"/>
          <w:u w:val="none" w:color="218FC4"/>
        </w:rPr>
        <w:t>认定</w:t>
      </w:r>
      <w:r>
        <w:rPr>
          <w:rFonts w:hint="eastAsia" w:ascii="宋体" w:hAnsi="宋体" w:eastAsia="宋体" w:cs="宋体"/>
          <w:sz w:val="24"/>
          <w:szCs w:val="24"/>
          <w:lang w:val="en-US" w:eastAsia="zh-CN"/>
        </w:rPr>
        <w:t>叶铮吻</w:t>
      </w:r>
      <w:r>
        <w:rPr>
          <w:rFonts w:ascii="宋体" w:hAnsi="宋体" w:eastAsia="宋体" w:cs="宋体"/>
          <w:color w:val="000000"/>
          <w:sz w:val="25"/>
          <w:u w:val="none" w:color="218FC4"/>
        </w:rPr>
        <w:t>通过支付宝转账给沈丹的款项包含共同生活支出的各种费用</w:t>
      </w:r>
      <w:r>
        <w:rPr>
          <w:rFonts w:hint="eastAsia" w:ascii="宋体" w:hAnsi="宋体" w:eastAsia="宋体" w:cs="宋体"/>
          <w:color w:val="000000"/>
          <w:sz w:val="25"/>
          <w:u w:val="none" w:color="218FC4"/>
          <w:lang w:eastAsia="zh-CN"/>
        </w:rPr>
        <w:t>，</w:t>
      </w:r>
      <w:r>
        <w:rPr>
          <w:rFonts w:hint="eastAsia" w:ascii="宋体" w:hAnsi="宋体" w:eastAsia="宋体" w:cs="宋体"/>
          <w:color w:val="000000"/>
          <w:sz w:val="25"/>
          <w:u w:val="none" w:color="218FC4"/>
          <w:lang w:val="en-US" w:eastAsia="zh-CN"/>
        </w:rPr>
        <w:t>驳回</w:t>
      </w:r>
      <w:r>
        <w:rPr>
          <w:rFonts w:hint="eastAsia" w:ascii="宋体" w:hAnsi="宋体" w:eastAsia="宋体" w:cs="宋体"/>
          <w:sz w:val="24"/>
          <w:szCs w:val="24"/>
          <w:lang w:val="en-US" w:eastAsia="zh-CN"/>
        </w:rPr>
        <w:t>叶铮吻的诉讼请求。</w:t>
      </w:r>
    </w:p>
    <w:p w14:paraId="2AC8C6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又如在周艺爰诉杨杨不当得利纠纷</w:t>
      </w:r>
      <w:r>
        <w:rPr>
          <w:rStyle w:val="5"/>
          <w:rFonts w:hint="eastAsia" w:ascii="宋体" w:hAnsi="宋体" w:eastAsia="宋体" w:cs="宋体"/>
          <w:sz w:val="24"/>
          <w:szCs w:val="24"/>
          <w:lang w:val="en-US" w:eastAsia="zh-CN"/>
        </w:rPr>
        <w:footnoteReference w:id="1"/>
      </w:r>
      <w:r>
        <w:rPr>
          <w:rFonts w:hint="eastAsia" w:ascii="宋体" w:hAnsi="宋体" w:eastAsia="宋体" w:cs="宋体"/>
          <w:sz w:val="24"/>
          <w:szCs w:val="24"/>
          <w:lang w:val="en-US" w:eastAsia="zh-CN"/>
        </w:rPr>
        <w:t>一案中，在周艺爰与杨杨同居期间，周艺爰向杨杨的银行账户转了大量资金。在双方分手后，周艺爰主张其抱着长期共同生活的想法而向杨杨转账，现期望落空，因而转账的105万元属于杨杨的不当得利，请求法院判决归还。杨杨认为双方6年的同居共同生活期间，二人财务混同，并提供了大量双方共同生活期间的各种支出单据，以此证明以上费用系双方共同生活的共同支出。对此，法官认为，由于周艺爰、杨杨之间系同性同居关系，在长期共同生活期间的财产及开支没有约定，因此二人间的款项往来不属于不当得利。</w:t>
      </w:r>
    </w:p>
    <w:p w14:paraId="4874F1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楷体" w:hAnsi="楷体" w:eastAsia="楷体" w:cs="楷体"/>
          <w:sz w:val="21"/>
          <w:szCs w:val="21"/>
          <w:lang w:val="en-US" w:eastAsia="zh-CN"/>
        </w:rPr>
      </w:pPr>
      <w:r>
        <w:rPr>
          <w:rFonts w:hint="eastAsia" w:ascii="楷体" w:hAnsi="楷体" w:eastAsia="楷体" w:cs="楷体"/>
          <w:sz w:val="24"/>
          <w:szCs w:val="24"/>
          <w:lang w:val="en-US" w:eastAsia="zh-CN"/>
        </w:rPr>
        <w:t>判决原文：</w:t>
      </w:r>
      <w:r>
        <w:rPr>
          <w:rFonts w:hint="eastAsia" w:ascii="楷体" w:hAnsi="楷体" w:eastAsia="楷体" w:cs="楷体"/>
          <w:sz w:val="21"/>
          <w:szCs w:val="21"/>
          <w:lang w:val="en-US" w:eastAsia="zh-CN"/>
        </w:rPr>
        <w:t>首先，周艺爰与杨杨均确认双方为同性同居关系，同居时间从2008年年底至2014年6月。其次、周艺爰所支付的款项是基于双方同居生活，在几年间分数笔给付，难以确认周艺爰因此即遭受损失，杨杨即获得利益。第三、周艺爰与杨杨实际同居生活近6年，虽然双方现已解除了同居关系，但不能以此就认定周艺爰的给付行为目的不达。</w:t>
      </w:r>
    </w:p>
    <w:p w14:paraId="7462DF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（二）房产纠纷</w:t>
      </w:r>
    </w:p>
    <w:p w14:paraId="7EAB10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同性伴侣之间的房产纠纷一般分为借名买房纠纷、共同购房纠纷、共有房屋分割纠纷以及其他纠纷。在这些房产纠纷中，双方当事人之间的同性伴侣关系应受到法官的审查，并作为裁判的考量因素。理由如下：</w:t>
      </w:r>
    </w:p>
    <w:p w14:paraId="4C0760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于借名买房纠纷：在司法实践中，对于“借名买房”纠纷，法官通常会考察双方当事人的真实意思表示，并结合房款支付、贷款偿还、房屋装潢及生活用品添置、房屋居住使用等情况综合分析，以确定房屋产权归属。在此类案件中，双方当事人之间的关系是判断借名买房是否合乎情理与是否为正常交易习惯的逻辑起点。</w:t>
      </w:r>
    </w:p>
    <w:p w14:paraId="74B958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共同买房纠纷：同性伴侣共同买房一般发生在双方长期稳定恋爱并共同居住和生活的情况下。而在同居过程中，同性伴侣之间存在数量众多并多种多样的资金往来，甚至产生财产混同现象。在此类案件中，双方当事人之间的关系是判断是否属于共同买房的逻辑起点。</w:t>
      </w:r>
    </w:p>
    <w:p w14:paraId="062404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（3）共有房屋分割纠纷：同性伴侣在恋爱或同居期间所购置的房产自始便登记在二人名下，后因二人分手而导致房屋分割纠纷。在此类案件中，双方当事人之间的关系是判断房屋共有的重要因素。</w:t>
      </w:r>
    </w:p>
    <w:p w14:paraId="58C7AB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司法实践中，对于18例同性伴侣间的房产纠纷，多数法官在事实层面回避甚至未认定同性伴侣的恋爱或同居关系，未将恋爱或同居关系作为裁判的考量因素；少数法官在事实层面认定了同性伴侣的同居关系，但在法律层面将同性伴侣的同居关系转换为其他关系（如合伙和朋友关系）进行处理；极少数法官在事实和法律层面都认定了同性伴侣的恋爱或同居关系，将同性同居期间产生的财产纠纷比照异性同居期间共同财产进行处理。</w:t>
      </w:r>
    </w:p>
    <w:p w14:paraId="640CF7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（三）赠予纠纷</w:t>
      </w:r>
    </w:p>
    <w:p w14:paraId="4F5DE0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般而言，恋爱期间的小额财物赠与，如纪念日或节假日的红包和礼物等，应当认定为是维系感情的必要支出，系无偿赠与，不应当要求返还。而恋爱期间的大额财物赠与，既不同于合同法上的一般赠与，也不同于彩礼，往往是一方当事人基于结婚为目的的，该赠予实际上属于附条件的赠与。当双方无法缔结婚姻关系或恋爱关系解除时，赠与财物一方的预期无法实现，则赠与不发生法律效力，当事人可以要求返还财物。</w:t>
      </w:r>
      <w:r>
        <w:rPr>
          <w:rStyle w:val="5"/>
          <w:rFonts w:hint="eastAsia" w:ascii="宋体" w:hAnsi="宋体" w:eastAsia="宋体" w:cs="宋体"/>
          <w:sz w:val="24"/>
          <w:szCs w:val="24"/>
          <w:lang w:val="en-US" w:eastAsia="zh-CN"/>
        </w:rPr>
        <w:footnoteReference w:id="2"/>
      </w:r>
    </w:p>
    <w:p w14:paraId="2B6B5D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在此类案件中，双方当事人之间的恋爱关系是判断是否属于赠予的逻辑起点。因此，双方当事人之间的同性伴侣关系应受到法官的审查，并作为裁判的考量因素。</w:t>
      </w:r>
    </w:p>
    <w:p w14:paraId="06861D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司法实践中，在9例赠予纠纷中，对于同性伴侣间小额财物赠与（如礼物或转账红包），多数法官能够在事实层面上认定同性伴侣的恋爱关系，进而认定为赠与。但对于大额财物赠与（如房屋首付款），法官虽然在事实层面上认定同性伴侣的恋爱关系，但一般会要求返还。</w:t>
      </w:r>
    </w:p>
    <w:p w14:paraId="0234E9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（四）分手协议/分手费纠纷</w:t>
      </w:r>
    </w:p>
    <w:p w14:paraId="3F40A4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关于分手协议与分手费，我国法律和司法解释并未对此做出规定，但地方性的司法解释多数不支持分手协议与分手费。而在司法实践中，法官们对分手协议与分手费纠纷的裁判却各有不同，没有统一意见。</w:t>
      </w:r>
    </w:p>
    <w:p w14:paraId="61BA6D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在此类案件中，同性伴侣的恋爱关系是认定分手协议与分手费的前提，因此，双方当事人之间的同性伴侣关系应受到法官的审查，并作为裁判的考量因素。</w:t>
      </w:r>
    </w:p>
    <w:p w14:paraId="305D92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具体到本研究中的3例案件，法官在事实层面上认定同性伴侣的恋爱关系后，认可了分手协议。在徐佳瑜诉薛维娜赠予合同纠纷</w:t>
      </w:r>
      <w:r>
        <w:rPr>
          <w:rStyle w:val="5"/>
          <w:rFonts w:hint="eastAsia" w:ascii="宋体" w:hAnsi="宋体" w:eastAsia="宋体" w:cs="宋体"/>
          <w:sz w:val="24"/>
          <w:szCs w:val="24"/>
          <w:lang w:val="en-US" w:eastAsia="zh-CN"/>
        </w:rPr>
        <w:footnoteReference w:id="3"/>
      </w:r>
      <w:r>
        <w:rPr>
          <w:rFonts w:hint="eastAsia" w:ascii="宋体" w:hAnsi="宋体" w:eastAsia="宋体" w:cs="宋体"/>
          <w:sz w:val="24"/>
          <w:szCs w:val="24"/>
          <w:lang w:val="en-US" w:eastAsia="zh-CN"/>
        </w:rPr>
        <w:t>一案中，原告与被告相识多年，2014年2月确立恋爱关系，后因双方性格差异及情感不和，于2016年7月结束了恋爱关系并签订了分手协议，约定了宝马汽车的归属。后原告诉至法院，要求撤销分手协议。对此，法官认为，“原告徐佳瑜与被告薛维娜原系恋爱关系，双方分手时签订的协议书真实有效。”</w:t>
      </w:r>
    </w:p>
    <w:p w14:paraId="782ED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楷体" w:hAnsi="楷体" w:eastAsia="楷体" w:cs="楷体"/>
          <w:sz w:val="21"/>
          <w:szCs w:val="21"/>
          <w:lang w:val="en-US" w:eastAsia="zh-CN"/>
        </w:rPr>
      </w:pPr>
      <w:r>
        <w:rPr>
          <w:rFonts w:hint="eastAsia" w:ascii="楷体" w:hAnsi="楷体" w:eastAsia="楷体" w:cs="楷体"/>
          <w:sz w:val="24"/>
          <w:szCs w:val="24"/>
          <w:lang w:val="en-US" w:eastAsia="zh-CN"/>
        </w:rPr>
        <w:t>判决原文：</w:t>
      </w:r>
      <w:r>
        <w:rPr>
          <w:rFonts w:hint="eastAsia" w:ascii="楷体" w:hAnsi="楷体" w:eastAsia="楷体" w:cs="楷体"/>
          <w:sz w:val="21"/>
          <w:szCs w:val="21"/>
          <w:lang w:val="en-US" w:eastAsia="zh-CN"/>
        </w:rPr>
        <w:t>本院认为双方原系恋爱关系，在恋爱关系结束时，双方对恋爱期间财物进行结算、补偿并不以双方之间必须存在等额的借贷关系为基础。</w:t>
      </w:r>
    </w:p>
    <w:p w14:paraId="063F23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双方当事人以协议的方式结算恋爱期间的经济交往，该结算有明确的基础关系，约定有效，双方均应恪守。</w:t>
      </w:r>
    </w:p>
    <w:p w14:paraId="1BE668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（五）借贷纠纷</w:t>
      </w:r>
    </w:p>
    <w:p w14:paraId="7DCF35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同性伴侣在恋爱或同居期间，可能存在借贷关系。民间借贷关系的成立，一般需要具有借贷的意思表示，并且实际交付了借款。对此类纠纷，法官一般只需要厘清当事人双方之间的款项往来，确认出具借款的事实，并对原告提供的具有借款意思表示的证据进行认定即可，</w:t>
      </w:r>
      <w:r>
        <w:rPr>
          <w:rFonts w:hint="eastAsia" w:ascii="宋体" w:hAnsi="宋体" w:eastAsia="宋体" w:cs="宋体"/>
          <w:b/>
          <w:bCs/>
          <w:sz w:val="24"/>
          <w:szCs w:val="24"/>
          <w:lang w:val="en-US" w:eastAsia="zh-CN"/>
        </w:rPr>
        <w:t>故在绝大部分的情况下，当事人双方的恋爱关系对借款事实的认定和案件裁判并无影响</w:t>
      </w:r>
      <w:r>
        <w:rPr>
          <w:rFonts w:hint="eastAsia" w:ascii="宋体" w:hAnsi="宋体" w:eastAsia="宋体" w:cs="宋体"/>
          <w:sz w:val="24"/>
          <w:szCs w:val="24"/>
          <w:lang w:val="en-US" w:eastAsia="zh-CN"/>
        </w:rPr>
        <w:t>。在37例案件中的裁判模式，法官</w:t>
      </w:r>
      <w:r>
        <w:rPr>
          <w:rFonts w:hint="eastAsia" w:ascii="宋体" w:hAnsi="宋体" w:eastAsia="宋体" w:cs="宋体"/>
          <w:b/>
          <w:bCs/>
          <w:sz w:val="24"/>
          <w:szCs w:val="24"/>
          <w:lang w:val="en-US" w:eastAsia="zh-CN"/>
        </w:rPr>
        <w:t>按照一般民间借贷纠纷的裁判标准进行了判决。</w:t>
      </w:r>
    </w:p>
    <w:p w14:paraId="5688D85F">
      <w:pPr>
        <w:keepNext w:val="0"/>
        <w:keepLines w:val="0"/>
        <w:pageBreakBefore w:val="0"/>
        <w:widowControl w:val="0"/>
        <w:kinsoku/>
        <w:wordWrap/>
        <w:overflowPunct/>
        <w:topLinePunct w:val="0"/>
        <w:autoSpaceDE/>
        <w:autoSpaceDN/>
        <w:bidi w:val="0"/>
        <w:adjustRightInd w:val="0"/>
        <w:snapToGrid w:val="0"/>
        <w:spacing w:line="360" w:lineRule="auto"/>
        <w:ind w:firstLine="561"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三、抚养权和探视权纠纷的裁判现状</w:t>
      </w:r>
    </w:p>
    <w:p w14:paraId="6B0785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（一）以</w:t>
      </w:r>
      <w:r>
        <w:rPr>
          <w:rFonts w:hint="default" w:ascii="宋体" w:hAnsi="宋体" w:eastAsia="宋体" w:cs="宋体"/>
          <w:b/>
          <w:bCs/>
          <w:sz w:val="24"/>
          <w:szCs w:val="24"/>
          <w:lang w:val="en-US" w:eastAsia="zh-CN"/>
        </w:rPr>
        <w:t>“同性恋不利于孩子成长”</w:t>
      </w:r>
      <w:r>
        <w:rPr>
          <w:rFonts w:hint="eastAsia" w:ascii="宋体" w:hAnsi="宋体" w:eastAsia="宋体" w:cs="宋体"/>
          <w:b/>
          <w:bCs/>
          <w:sz w:val="24"/>
          <w:szCs w:val="24"/>
          <w:lang w:val="en-US" w:eastAsia="zh-CN"/>
        </w:rPr>
        <w:t>为由</w:t>
      </w:r>
      <w:r>
        <w:rPr>
          <w:rFonts w:hint="default" w:ascii="宋体" w:hAnsi="宋体" w:eastAsia="宋体" w:cs="宋体"/>
          <w:b/>
          <w:bCs/>
          <w:sz w:val="24"/>
          <w:szCs w:val="24"/>
          <w:lang w:val="en-US" w:eastAsia="zh-CN"/>
        </w:rPr>
        <w:t>主张</w:t>
      </w:r>
      <w:r>
        <w:rPr>
          <w:rFonts w:hint="eastAsia" w:ascii="宋体" w:hAnsi="宋体" w:eastAsia="宋体" w:cs="宋体"/>
          <w:b/>
          <w:bCs/>
          <w:sz w:val="24"/>
          <w:szCs w:val="24"/>
          <w:lang w:val="en-US" w:eastAsia="zh-CN"/>
        </w:rPr>
        <w:t>抚养权</w:t>
      </w:r>
    </w:p>
    <w:p w14:paraId="352593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在8例案例中，</w:t>
      </w:r>
      <w:r>
        <w:rPr>
          <w:rFonts w:hint="default" w:ascii="宋体" w:hAnsi="宋体" w:eastAsia="宋体" w:cs="宋体"/>
          <w:sz w:val="24"/>
          <w:szCs w:val="24"/>
          <w:lang w:val="en-US" w:eastAsia="zh-CN"/>
        </w:rPr>
        <w:t>同夫或同妻因对方同性恋性倾向而提出离婚，</w:t>
      </w:r>
      <w:r>
        <w:rPr>
          <w:rFonts w:hint="eastAsia" w:ascii="宋体" w:hAnsi="宋体" w:eastAsia="宋体" w:cs="宋体"/>
          <w:sz w:val="24"/>
          <w:szCs w:val="24"/>
          <w:lang w:val="en-US" w:eastAsia="zh-CN"/>
        </w:rPr>
        <w:t>一方以</w:t>
      </w:r>
      <w:r>
        <w:rPr>
          <w:rFonts w:hint="default" w:ascii="宋体" w:hAnsi="宋体" w:eastAsia="宋体" w:cs="宋体"/>
          <w:sz w:val="24"/>
          <w:szCs w:val="24"/>
          <w:lang w:val="en-US" w:eastAsia="zh-CN"/>
        </w:rPr>
        <w:t>同性恋性倾向不利于孩子</w:t>
      </w:r>
      <w:r>
        <w:rPr>
          <w:rFonts w:hint="eastAsia" w:ascii="宋体" w:hAnsi="宋体" w:eastAsia="宋体" w:cs="宋体"/>
          <w:sz w:val="24"/>
          <w:szCs w:val="24"/>
          <w:lang w:val="en-US" w:eastAsia="zh-CN"/>
        </w:rPr>
        <w:t>身心健康</w:t>
      </w:r>
      <w:r>
        <w:rPr>
          <w:rFonts w:hint="default" w:ascii="宋体" w:hAnsi="宋体" w:eastAsia="宋体" w:cs="宋体"/>
          <w:sz w:val="24"/>
          <w:szCs w:val="24"/>
          <w:lang w:val="en-US" w:eastAsia="zh-CN"/>
        </w:rPr>
        <w:t>成长</w:t>
      </w:r>
      <w:r>
        <w:rPr>
          <w:rFonts w:hint="eastAsia" w:ascii="宋体" w:hAnsi="宋体" w:eastAsia="宋体" w:cs="宋体"/>
          <w:sz w:val="24"/>
          <w:szCs w:val="24"/>
          <w:lang w:val="en-US" w:eastAsia="zh-CN"/>
        </w:rPr>
        <w:t>为由</w:t>
      </w:r>
      <w:r>
        <w:rPr>
          <w:rFonts w:hint="default" w:ascii="宋体" w:hAnsi="宋体" w:eastAsia="宋体" w:cs="宋体"/>
          <w:sz w:val="24"/>
          <w:szCs w:val="24"/>
          <w:lang w:val="en-US" w:eastAsia="zh-CN"/>
        </w:rPr>
        <w:t>主张</w:t>
      </w:r>
      <w:r>
        <w:rPr>
          <w:rFonts w:hint="eastAsia" w:ascii="宋体" w:hAnsi="宋体" w:eastAsia="宋体" w:cs="宋体"/>
          <w:sz w:val="24"/>
          <w:szCs w:val="24"/>
          <w:lang w:val="en-US" w:eastAsia="zh-CN"/>
        </w:rPr>
        <w:t>抚养权。如在覃某诉项某离婚纠纷</w:t>
      </w:r>
      <w:r>
        <w:rPr>
          <w:rStyle w:val="5"/>
          <w:rFonts w:hint="eastAsia" w:ascii="宋体" w:hAnsi="宋体" w:eastAsia="宋体" w:cs="宋体"/>
          <w:sz w:val="24"/>
          <w:szCs w:val="24"/>
          <w:lang w:val="en-US" w:eastAsia="zh-CN"/>
        </w:rPr>
        <w:footnoteReference w:id="4"/>
      </w:r>
      <w:r>
        <w:rPr>
          <w:rFonts w:hint="eastAsia" w:ascii="宋体" w:hAnsi="宋体" w:eastAsia="宋体" w:cs="宋体"/>
          <w:sz w:val="24"/>
          <w:szCs w:val="24"/>
          <w:lang w:val="en-US" w:eastAsia="zh-CN"/>
        </w:rPr>
        <w:t>一案中，项某向法庭提供了</w:t>
      </w:r>
      <w:r>
        <w:rPr>
          <w:rFonts w:hint="default" w:ascii="宋体" w:hAnsi="宋体" w:eastAsia="宋体" w:cs="宋体"/>
          <w:sz w:val="24"/>
          <w:szCs w:val="24"/>
          <w:lang w:val="en-US" w:eastAsia="zh-CN"/>
        </w:rPr>
        <w:t>QQ 聊天记录一份</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用以证明</w:t>
      </w:r>
      <w:r>
        <w:rPr>
          <w:rFonts w:hint="eastAsia" w:ascii="宋体" w:hAnsi="宋体" w:eastAsia="宋体" w:cs="宋体"/>
          <w:sz w:val="24"/>
          <w:szCs w:val="24"/>
          <w:lang w:val="en-US" w:eastAsia="zh-CN"/>
        </w:rPr>
        <w:t>覃某</w:t>
      </w:r>
      <w:r>
        <w:rPr>
          <w:rFonts w:hint="default" w:ascii="宋体" w:hAnsi="宋体" w:eastAsia="宋体" w:cs="宋体"/>
          <w:sz w:val="24"/>
          <w:szCs w:val="24"/>
          <w:lang w:val="en-US" w:eastAsia="zh-CN"/>
        </w:rPr>
        <w:t>是同性恋，离婚后抚养子女不利于子女健康成</w:t>
      </w:r>
      <w:r>
        <w:rPr>
          <w:rFonts w:ascii="宋体" w:hAnsi="宋体" w:eastAsia="宋体" w:cs="宋体"/>
          <w:color w:val="000000"/>
          <w:kern w:val="0"/>
          <w:sz w:val="25"/>
          <w:szCs w:val="25"/>
          <w:lang w:val="en-US" w:eastAsia="zh-CN" w:bidi="ar"/>
        </w:rPr>
        <w:t>长。</w:t>
      </w:r>
      <w:r>
        <w:rPr>
          <w:rFonts w:hint="eastAsia" w:ascii="宋体" w:hAnsi="宋体" w:eastAsia="宋体" w:cs="宋体"/>
          <w:b/>
          <w:bCs/>
          <w:sz w:val="24"/>
          <w:szCs w:val="24"/>
          <w:lang w:val="en-US" w:eastAsia="zh-CN"/>
        </w:rPr>
        <w:t>在该类纠纷中，7例案例的法官均未将</w:t>
      </w:r>
      <w:r>
        <w:rPr>
          <w:rFonts w:hint="default" w:ascii="宋体" w:hAnsi="宋体" w:eastAsia="宋体" w:cs="宋体"/>
          <w:b/>
          <w:bCs/>
          <w:sz w:val="24"/>
          <w:szCs w:val="24"/>
          <w:lang w:val="en-US" w:eastAsia="zh-CN"/>
        </w:rPr>
        <w:t>同性恋性倾向</w:t>
      </w:r>
      <w:r>
        <w:rPr>
          <w:rFonts w:hint="eastAsia" w:ascii="宋体" w:hAnsi="宋体" w:eastAsia="宋体" w:cs="宋体"/>
          <w:b/>
          <w:bCs/>
          <w:sz w:val="24"/>
          <w:szCs w:val="24"/>
          <w:lang w:val="en-US" w:eastAsia="zh-CN"/>
        </w:rPr>
        <w:t>作为分配抚养权的依据，以儿童利益最大化原则来裁判孩子的抚养权。</w:t>
      </w:r>
    </w:p>
    <w:p w14:paraId="0D6BE1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但也有1例案例的法官认同</w:t>
      </w:r>
      <w:r>
        <w:rPr>
          <w:rFonts w:hint="default" w:ascii="宋体" w:hAnsi="宋体" w:eastAsia="宋体" w:cs="宋体"/>
          <w:b/>
          <w:bCs/>
          <w:sz w:val="24"/>
          <w:szCs w:val="24"/>
          <w:lang w:val="en-US" w:eastAsia="zh-CN"/>
        </w:rPr>
        <w:t>“同性恋不利于孩子成长”</w:t>
      </w:r>
      <w:r>
        <w:rPr>
          <w:rFonts w:hint="eastAsia" w:ascii="宋体" w:hAnsi="宋体" w:eastAsia="宋体" w:cs="宋体"/>
          <w:b/>
          <w:bCs/>
          <w:sz w:val="24"/>
          <w:szCs w:val="24"/>
          <w:lang w:val="en-US" w:eastAsia="zh-CN"/>
        </w:rPr>
        <w:t>的</w:t>
      </w:r>
      <w:r>
        <w:rPr>
          <w:rFonts w:hint="default" w:ascii="宋体" w:hAnsi="宋体" w:eastAsia="宋体" w:cs="宋体"/>
          <w:b/>
          <w:bCs/>
          <w:sz w:val="24"/>
          <w:szCs w:val="24"/>
          <w:lang w:val="en-US" w:eastAsia="zh-CN"/>
        </w:rPr>
        <w:t>主张</w:t>
      </w:r>
      <w:r>
        <w:rPr>
          <w:rFonts w:hint="eastAsia" w:ascii="宋体" w:hAnsi="宋体" w:eastAsia="宋体" w:cs="宋体"/>
          <w:sz w:val="24"/>
          <w:szCs w:val="24"/>
          <w:lang w:val="en-US" w:eastAsia="zh-CN"/>
        </w:rPr>
        <w:t>，即赵某与庞某甲离婚纠纷案</w:t>
      </w:r>
      <w:bookmarkStart w:id="0" w:name="_Hlk151752990"/>
      <w:r>
        <w:rPr>
          <w:rFonts w:hint="eastAsia" w:ascii="宋体" w:hAnsi="宋体" w:eastAsia="宋体" w:cs="宋体"/>
          <w:sz w:val="24"/>
          <w:szCs w:val="24"/>
          <w:vertAlign w:val="superscript"/>
          <w:lang w:val="en-US" w:eastAsia="zh-CN"/>
        </w:rPr>
        <w:footnoteReference w:id="5"/>
      </w:r>
      <w:bookmarkEnd w:id="0"/>
      <w:r>
        <w:rPr>
          <w:rFonts w:hint="eastAsia" w:ascii="宋体" w:hAnsi="宋体" w:eastAsia="宋体" w:cs="宋体"/>
          <w:sz w:val="24"/>
          <w:szCs w:val="24"/>
          <w:lang w:val="en-US" w:eastAsia="zh-CN"/>
        </w:rPr>
        <w:t>。在该案中，原告赵某与被告庞某甲于2005年经人介绍认识后登记结婚，并生育一子。后赵某发现庞某甲存在同性恋行为，二人于2010年调解离婚，后又于2012年重新登记复婚。复婚后，庞某甲在赵某生病住院期间，携其同性恋男友在家中同居。赵某因此要求诉讼离婚，并主张对婚生子庞某甲的抚养权。针对赵某对于婚生子的抚养权主张，法官认同了赵某提出的同性恋性倾向不利于孩子成长的观点，在判决书中明确表示</w:t>
      </w:r>
      <w:r>
        <w:rPr>
          <w:rFonts w:hint="eastAsia" w:ascii="宋体" w:hAnsi="宋体" w:eastAsia="宋体" w:cs="宋体"/>
          <w:b/>
          <w:bCs/>
          <w:color w:val="FF0000"/>
          <w:sz w:val="24"/>
          <w:szCs w:val="24"/>
          <w:lang w:val="en-US" w:eastAsia="zh-CN"/>
        </w:rPr>
        <w:t>“被告的同性恋行为与当前的正常主流观念及传统的伦理相违背”</w:t>
      </w:r>
      <w:r>
        <w:rPr>
          <w:rFonts w:hint="eastAsia" w:ascii="宋体" w:hAnsi="宋体" w:eastAsia="宋体" w:cs="宋体"/>
          <w:sz w:val="24"/>
          <w:szCs w:val="24"/>
          <w:lang w:val="en-US" w:eastAsia="zh-CN"/>
        </w:rPr>
        <w:t>，被该行为对未成年人的健康成长将产生不利影响，因此将婚生子的抚养权判给原告。</w:t>
      </w:r>
      <w:bookmarkStart w:id="1" w:name="_Hlk151753473"/>
      <w:r>
        <w:rPr>
          <w:rFonts w:hint="eastAsia" w:ascii="宋体" w:hAnsi="宋体" w:eastAsia="宋体" w:cs="宋体"/>
          <w:sz w:val="24"/>
          <w:szCs w:val="24"/>
          <w:vertAlign w:val="superscript"/>
          <w:lang w:val="en-US" w:eastAsia="zh-CN"/>
        </w:rPr>
        <w:footnoteReference w:id="6"/>
      </w:r>
      <w:bookmarkEnd w:id="1"/>
      <w:r>
        <w:rPr>
          <w:rFonts w:hint="eastAsia" w:ascii="宋体" w:hAnsi="宋体" w:eastAsia="宋体" w:cs="宋体"/>
          <w:sz w:val="24"/>
          <w:szCs w:val="24"/>
          <w:lang w:val="en-US" w:eastAsia="zh-CN"/>
        </w:rPr>
        <w:t>该案法官将同性恋行为作为不利于子女身心健康的情形，明显基于歧视主义来裁决抚养权。如果按照一般离婚案件的子女抚养问题的裁量标准，法官应当按照儿童利益最大化原则，结合父母双方的抚养能力和抚养条件等具体情况综合考虑。</w:t>
      </w:r>
      <w:bookmarkStart w:id="2" w:name="_Hlk151753491"/>
      <w:r>
        <w:rPr>
          <w:rFonts w:hint="eastAsia" w:ascii="宋体" w:hAnsi="宋体" w:eastAsia="宋体" w:cs="宋体"/>
          <w:sz w:val="24"/>
          <w:szCs w:val="24"/>
          <w:vertAlign w:val="superscript"/>
          <w:lang w:val="en-US" w:eastAsia="zh-CN"/>
        </w:rPr>
        <w:footnoteReference w:id="7"/>
      </w:r>
      <w:bookmarkEnd w:id="2"/>
      <w:r>
        <w:rPr>
          <w:rFonts w:hint="eastAsia" w:ascii="宋体" w:hAnsi="宋体" w:eastAsia="宋体" w:cs="宋体"/>
          <w:sz w:val="24"/>
          <w:szCs w:val="24"/>
          <w:lang w:val="en-US" w:eastAsia="zh-CN"/>
        </w:rPr>
        <w:t>本案中原告赵某无固定收入与住所，被告庞某甲具有稳定可观的月收入和城市不动产，相比之下，庞某甲具有更优的抚养能力和条件，已满两周岁的未成年婚生子跟随庞某甲生活，对其成长更有利。法官在未综合考虑二人的抚养能力和条件的情况下，仅仅根据同性恋性倾向而直接否定庞某甲对婚生子的抚养权，表明其认同并强化主流社会歧视同性恋的立场和态度。</w:t>
      </w:r>
    </w:p>
    <w:p w14:paraId="2C16C0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eastAsiaTheme="minorEastAsia"/>
          <w:b/>
          <w:bCs/>
          <w:lang w:val="en-US" w:eastAsia="zh-CN"/>
        </w:rPr>
      </w:pPr>
      <w:r>
        <w:rPr>
          <w:rFonts w:hint="eastAsia" w:ascii="宋体" w:hAnsi="宋体" w:eastAsia="宋体" w:cs="宋体"/>
          <w:b/>
          <w:bCs/>
          <w:sz w:val="24"/>
          <w:szCs w:val="24"/>
          <w:lang w:val="en-US" w:eastAsia="zh-CN"/>
        </w:rPr>
        <w:t>（二）</w:t>
      </w:r>
      <w:r>
        <w:rPr>
          <w:rFonts w:hint="default" w:ascii="宋体" w:hAnsi="宋体" w:eastAsia="宋体" w:cs="宋体"/>
          <w:b/>
          <w:bCs/>
          <w:sz w:val="24"/>
          <w:szCs w:val="24"/>
          <w:lang w:val="en-US" w:eastAsia="zh-CN"/>
        </w:rPr>
        <w:t>一方以“同性恋不利于孩子成长”为由请求变更抚养权</w:t>
      </w:r>
    </w:p>
    <w:p w14:paraId="3863FD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在5例案例中，一方以</w:t>
      </w:r>
      <w:r>
        <w:rPr>
          <w:rFonts w:hint="default" w:ascii="宋体" w:hAnsi="宋体" w:eastAsia="宋体" w:cs="宋体"/>
          <w:sz w:val="24"/>
          <w:szCs w:val="24"/>
          <w:lang w:val="en-US" w:eastAsia="zh-CN"/>
        </w:rPr>
        <w:t>同性恋性倾向不利于孩子</w:t>
      </w:r>
      <w:r>
        <w:rPr>
          <w:rFonts w:hint="eastAsia" w:ascii="宋体" w:hAnsi="宋体" w:eastAsia="宋体" w:cs="宋体"/>
          <w:sz w:val="24"/>
          <w:szCs w:val="24"/>
          <w:lang w:val="en-US" w:eastAsia="zh-CN"/>
        </w:rPr>
        <w:t>身心健康</w:t>
      </w:r>
      <w:r>
        <w:rPr>
          <w:rFonts w:hint="default" w:ascii="宋体" w:hAnsi="宋体" w:eastAsia="宋体" w:cs="宋体"/>
          <w:sz w:val="24"/>
          <w:szCs w:val="24"/>
          <w:lang w:val="en-US" w:eastAsia="zh-CN"/>
        </w:rPr>
        <w:t>成长</w:t>
      </w:r>
      <w:r>
        <w:rPr>
          <w:rFonts w:hint="eastAsia" w:ascii="宋体" w:hAnsi="宋体" w:eastAsia="宋体" w:cs="宋体"/>
          <w:sz w:val="24"/>
          <w:szCs w:val="24"/>
          <w:lang w:val="en-US" w:eastAsia="zh-CN"/>
        </w:rPr>
        <w:t>为由</w:t>
      </w:r>
      <w:r>
        <w:rPr>
          <w:rFonts w:hint="default" w:ascii="宋体" w:hAnsi="宋体" w:eastAsia="宋体" w:cs="宋体"/>
          <w:sz w:val="24"/>
          <w:szCs w:val="24"/>
          <w:lang w:val="en-US" w:eastAsia="zh-CN"/>
        </w:rPr>
        <w:t>请求变更抚养权</w:t>
      </w:r>
      <w:r>
        <w:rPr>
          <w:rFonts w:hint="eastAsia" w:ascii="宋体" w:hAnsi="宋体" w:eastAsia="宋体" w:cs="宋体"/>
          <w:sz w:val="24"/>
          <w:szCs w:val="24"/>
          <w:lang w:val="en-US" w:eastAsia="zh-CN"/>
        </w:rPr>
        <w:t>。如在李×诉白×变更抚养关系纠纷案</w:t>
      </w:r>
      <w:r>
        <w:rPr>
          <w:rStyle w:val="5"/>
          <w:rFonts w:hint="eastAsia" w:ascii="宋体" w:hAnsi="宋体" w:eastAsia="宋体" w:cs="宋体"/>
          <w:sz w:val="24"/>
          <w:szCs w:val="24"/>
          <w:lang w:val="en-US" w:eastAsia="zh-CN"/>
        </w:rPr>
        <w:footnoteReference w:id="8"/>
      </w:r>
      <w:r>
        <w:rPr>
          <w:rFonts w:hint="eastAsia" w:ascii="宋体" w:hAnsi="宋体" w:eastAsia="宋体" w:cs="宋体"/>
          <w:sz w:val="24"/>
          <w:szCs w:val="24"/>
          <w:lang w:val="en-US" w:eastAsia="zh-CN"/>
        </w:rPr>
        <w:t>中，原告请求变更抚养权的理由之一为：原告得知被告系同性恋，并一直与另一女子保持同居关系。原告认为被告没有生活来源且世界观、价值观、性取向均存在严重问题，由被告继续抚养子女不宜。</w:t>
      </w:r>
      <w:r>
        <w:rPr>
          <w:rFonts w:hint="eastAsia" w:ascii="宋体" w:hAnsi="宋体" w:eastAsia="宋体" w:cs="宋体"/>
          <w:b/>
          <w:bCs/>
          <w:sz w:val="24"/>
          <w:szCs w:val="24"/>
          <w:lang w:val="en-US" w:eastAsia="zh-CN"/>
        </w:rPr>
        <w:t>在该类纠纷中，法官均未将</w:t>
      </w:r>
      <w:r>
        <w:rPr>
          <w:rFonts w:hint="default" w:ascii="宋体" w:hAnsi="宋体" w:eastAsia="宋体" w:cs="宋体"/>
          <w:b/>
          <w:bCs/>
          <w:sz w:val="24"/>
          <w:szCs w:val="24"/>
          <w:lang w:val="en-US" w:eastAsia="zh-CN"/>
        </w:rPr>
        <w:t>同性恋性倾向</w:t>
      </w:r>
      <w:r>
        <w:rPr>
          <w:rFonts w:hint="eastAsia" w:ascii="宋体" w:hAnsi="宋体" w:eastAsia="宋体" w:cs="宋体"/>
          <w:b/>
          <w:bCs/>
          <w:sz w:val="24"/>
          <w:szCs w:val="24"/>
          <w:lang w:val="en-US" w:eastAsia="zh-CN"/>
        </w:rPr>
        <w:t>作为分配抚养权的依据，以儿童利益最大化原则来裁判孩子的抚养权。</w:t>
      </w:r>
    </w:p>
    <w:p w14:paraId="2D6C37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w:t>
      </w:r>
      <w:r>
        <w:rPr>
          <w:rFonts w:hint="default" w:ascii="宋体" w:hAnsi="宋体" w:eastAsia="宋体" w:cs="宋体"/>
          <w:b/>
          <w:bCs/>
          <w:sz w:val="24"/>
          <w:szCs w:val="24"/>
          <w:lang w:val="en-US" w:eastAsia="zh-CN"/>
        </w:rPr>
        <w:t>同性恋者请求</w:t>
      </w:r>
      <w:r>
        <w:rPr>
          <w:rFonts w:hint="eastAsia" w:ascii="宋体" w:hAnsi="宋体" w:eastAsia="宋体" w:cs="宋体"/>
          <w:b/>
          <w:bCs/>
          <w:sz w:val="24"/>
          <w:szCs w:val="24"/>
          <w:lang w:val="en-US" w:eastAsia="zh-CN"/>
        </w:rPr>
        <w:t>确认</w:t>
      </w:r>
      <w:r>
        <w:rPr>
          <w:rFonts w:hint="default" w:ascii="宋体" w:hAnsi="宋体" w:eastAsia="宋体" w:cs="宋体"/>
          <w:b/>
          <w:bCs/>
          <w:sz w:val="24"/>
          <w:szCs w:val="24"/>
          <w:lang w:val="en-US" w:eastAsia="zh-CN"/>
        </w:rPr>
        <w:t>探</w:t>
      </w:r>
      <w:r>
        <w:rPr>
          <w:rFonts w:hint="eastAsia" w:ascii="宋体" w:hAnsi="宋体" w:eastAsia="宋体" w:cs="宋体"/>
          <w:b/>
          <w:bCs/>
          <w:sz w:val="24"/>
          <w:szCs w:val="24"/>
          <w:lang w:val="en-US" w:eastAsia="zh-CN"/>
        </w:rPr>
        <w:t>视</w:t>
      </w:r>
      <w:r>
        <w:rPr>
          <w:rFonts w:hint="default" w:ascii="宋体" w:hAnsi="宋体" w:eastAsia="宋体" w:cs="宋体"/>
          <w:b/>
          <w:bCs/>
          <w:sz w:val="24"/>
          <w:szCs w:val="24"/>
          <w:lang w:val="en-US" w:eastAsia="zh-CN"/>
        </w:rPr>
        <w:t>权</w:t>
      </w:r>
    </w:p>
    <w:p w14:paraId="4409B5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在离婚后，作为同性恋的一方诉至法院要求确认探视权，该案例为狄某 2诉卢某探望权纠纷案。在该案中，原告狄某 2 与被告卢某原系夫妻关系，双方于 2018年11月诉讼离婚，离婚时确定被告卢某抚养婚生子女，但并未明确原告探视权问题。原告因此故诉至法院，主张对孩子的探视权。在案件审理中，被告不同意原告探视孩子的原因之一是：“原告是同性恋，原告在同性恋社交网站上发照片交朋友，对孩子的成长和性取向极其不利”。被告还提交了原告在同性恋网站上发的照片 7 张、网址截图 12 页等证据，“证明原告是同性恋，而且不排除有传染性疾病，可能影响孩子的性取向，危急孩子的健康。”对此，法院并未认同被告的主张，</w:t>
      </w:r>
      <w:r>
        <w:rPr>
          <w:rFonts w:hint="eastAsia" w:ascii="宋体" w:hAnsi="宋体" w:eastAsia="宋体" w:cs="宋体"/>
          <w:b/>
          <w:bCs/>
          <w:sz w:val="24"/>
          <w:szCs w:val="24"/>
          <w:lang w:val="en-US" w:eastAsia="zh-CN"/>
        </w:rPr>
        <w:t>认为探视权是法律赋予父母的法定权利，因此判决确认原告的探视权。</w:t>
      </w:r>
    </w:p>
    <w:p w14:paraId="5B85A7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（四）形婚中的抚养权和探视权纠纷</w:t>
      </w:r>
    </w:p>
    <w:p w14:paraId="11785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sz w:val="24"/>
          <w:szCs w:val="24"/>
          <w:lang w:val="en-US" w:eastAsia="zh-CN"/>
        </w:rPr>
        <w:t>在4例案例中，同性恋者为了应对婚育的压力而选择与另一同性恋者结成形式婚姻，在二人离婚时发生了婚生子的抚养权和探视权纠纷。由于二人已经形成法律上的婚姻关系，</w:t>
      </w:r>
      <w:r>
        <w:rPr>
          <w:rFonts w:hint="eastAsia" w:ascii="宋体" w:hAnsi="宋体" w:eastAsia="宋体" w:cs="宋体"/>
          <w:b/>
          <w:bCs/>
          <w:sz w:val="24"/>
          <w:szCs w:val="24"/>
          <w:lang w:val="en-US" w:eastAsia="zh-CN"/>
        </w:rPr>
        <w:t>故法官一般按照异性恋婚姻中抚养权和探视权的裁判标准进行判决。</w:t>
      </w:r>
    </w:p>
    <w:p w14:paraId="0B21A9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判决原文：</w:t>
      </w:r>
      <w:r>
        <w:rPr>
          <w:rFonts w:hint="eastAsia" w:ascii="楷体" w:hAnsi="楷体" w:eastAsia="楷体" w:cs="楷体"/>
          <w:sz w:val="21"/>
          <w:szCs w:val="21"/>
          <w:lang w:val="en-US" w:eastAsia="zh-CN"/>
        </w:rPr>
        <w:t>同性恋者除在性取向上与普通人有差异外，其他身体机能、心理正常，但基于传统的习惯和民俗，同性恋者往往迫于外界的压力往往与没有感情的异性结婚，不仅严重影响了婚姻质量，而且也致使同性恋者承受着巨大的精神压力，处于社会边缘地带和法律的边缘。对原、被告所选择的性取向，本院予以理解，但因原、被告已通过合法登记的方式成为夫妻，故其双方的离婚应按照我国现行的法律规定予以处理，不应因其性取向特殊而有不同。</w:t>
      </w:r>
      <w:r>
        <w:rPr>
          <w:rStyle w:val="5"/>
          <w:rFonts w:hint="eastAsia" w:ascii="楷体" w:hAnsi="楷体" w:eastAsia="楷体" w:cs="楷体"/>
          <w:sz w:val="21"/>
          <w:szCs w:val="21"/>
          <w:lang w:val="en-US" w:eastAsia="zh-CN"/>
        </w:rPr>
        <w:footnoteReference w:id="9"/>
      </w:r>
    </w:p>
    <w:p w14:paraId="4EE3D2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1.抚养权</w:t>
      </w:r>
    </w:p>
    <w:p w14:paraId="3E5698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关于抚养权的问题，不管性取向如何，由于二人已经形成法律上的婚姻关系，故法官按照抚养权裁判的一般标准——儿童利益最大化原则进行裁判。</w:t>
      </w:r>
      <w:r>
        <w:rPr>
          <w:rFonts w:hint="eastAsia" w:ascii="宋体" w:hAnsi="宋体" w:eastAsia="宋体" w:cs="宋体"/>
          <w:sz w:val="24"/>
          <w:szCs w:val="24"/>
          <w:lang w:val="en-US" w:eastAsia="zh-CN"/>
        </w:rPr>
        <w:t>在4个案例中，由于孩子年龄尚幼，因此法官均将抚养权判给了女同性恋的一方。</w:t>
      </w:r>
    </w:p>
    <w:p w14:paraId="3A8D8F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kern w:val="0"/>
          <w:sz w:val="25"/>
          <w:szCs w:val="25"/>
          <w:lang w:val="en-US" w:eastAsia="zh-CN" w:bidi="ar"/>
        </w:rPr>
      </w:pPr>
      <w:r>
        <w:rPr>
          <w:rFonts w:hint="eastAsia" w:ascii="宋体" w:hAnsi="宋体" w:eastAsia="宋体" w:cs="宋体"/>
          <w:sz w:val="24"/>
          <w:szCs w:val="24"/>
          <w:lang w:val="en-US" w:eastAsia="zh-CN"/>
        </w:rPr>
        <w:t>如在袁某诉谢某甲离婚纠纷案</w:t>
      </w:r>
      <w:r>
        <w:rPr>
          <w:rStyle w:val="5"/>
          <w:rFonts w:hint="eastAsia" w:ascii="宋体" w:hAnsi="宋体" w:eastAsia="宋体" w:cs="宋体"/>
          <w:sz w:val="24"/>
          <w:szCs w:val="24"/>
          <w:lang w:val="en-US" w:eastAsia="zh-CN"/>
        </w:rPr>
        <w:footnoteReference w:id="10"/>
      </w:r>
      <w:r>
        <w:rPr>
          <w:rFonts w:hint="eastAsia" w:ascii="宋体" w:hAnsi="宋体" w:eastAsia="宋体" w:cs="宋体"/>
          <w:sz w:val="24"/>
          <w:szCs w:val="24"/>
          <w:lang w:val="en-US" w:eastAsia="zh-CN"/>
        </w:rPr>
        <w:t>中，袁某和谢某甲均系同性恋者。2010 年下半年，袁某、谢某甲通过网络相识，两人选择以婚姻的方式进行合作以应对家庭及社会的压力。2012年1月，谢某甲与袁某签订《协议书》，对双方形婚期间的权利义务关系和财产做出了约定，但未对孩子抚养权做出明确约定。后</w:t>
      </w:r>
      <w:r>
        <w:rPr>
          <w:rFonts w:hint="default" w:ascii="宋体" w:hAnsi="宋体" w:eastAsia="宋体" w:cs="宋体"/>
          <w:sz w:val="24"/>
          <w:szCs w:val="24"/>
          <w:lang w:val="en-US" w:eastAsia="zh-CN"/>
        </w:rPr>
        <w:t>双方</w:t>
      </w:r>
      <w:r>
        <w:rPr>
          <w:rFonts w:hint="eastAsia" w:ascii="宋体" w:hAnsi="宋体" w:eastAsia="宋体" w:cs="宋体"/>
          <w:sz w:val="24"/>
          <w:szCs w:val="24"/>
          <w:lang w:val="en-US" w:eastAsia="zh-CN"/>
        </w:rPr>
        <w:t>争夺对孩子的</w:t>
      </w:r>
      <w:r>
        <w:rPr>
          <w:rFonts w:hint="default" w:ascii="宋体" w:hAnsi="宋体" w:eastAsia="宋体" w:cs="宋体"/>
          <w:sz w:val="24"/>
          <w:szCs w:val="24"/>
          <w:lang w:val="en-US" w:eastAsia="zh-CN"/>
        </w:rPr>
        <w:t>抚养</w:t>
      </w:r>
      <w:r>
        <w:rPr>
          <w:rFonts w:hint="eastAsia" w:ascii="宋体" w:hAnsi="宋体" w:eastAsia="宋体" w:cs="宋体"/>
          <w:sz w:val="24"/>
          <w:szCs w:val="24"/>
          <w:lang w:val="en-US" w:eastAsia="zh-CN"/>
        </w:rPr>
        <w:t>权</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对此，法官认为，</w:t>
      </w:r>
      <w:r>
        <w:rPr>
          <w:rFonts w:hint="default" w:ascii="宋体" w:hAnsi="宋体" w:eastAsia="宋体" w:cs="宋体"/>
          <w:sz w:val="24"/>
          <w:szCs w:val="24"/>
          <w:lang w:val="en-US" w:eastAsia="zh-CN"/>
        </w:rPr>
        <w:t>关于女儿的抚养问题，根据最高人民法院《关于人民法院审理离婚案件处理子女抚养问题的若干具体意见》第 1 条规定：“两周岁以下的子女，一般随母方生活。”因</w:t>
      </w:r>
      <w:r>
        <w:rPr>
          <w:rFonts w:hint="eastAsia" w:ascii="宋体" w:hAnsi="宋体" w:eastAsia="宋体" w:cs="宋体"/>
          <w:sz w:val="24"/>
          <w:szCs w:val="24"/>
          <w:lang w:val="en-US" w:eastAsia="zh-CN"/>
        </w:rPr>
        <w:t>女儿</w:t>
      </w:r>
      <w:r>
        <w:rPr>
          <w:rFonts w:hint="default" w:ascii="宋体" w:hAnsi="宋体" w:eastAsia="宋体" w:cs="宋体"/>
          <w:sz w:val="24"/>
          <w:szCs w:val="24"/>
          <w:lang w:val="en-US" w:eastAsia="zh-CN"/>
        </w:rPr>
        <w:t>尚未年满两周岁，加之其出生后一直跟随袁某生活至今，故</w:t>
      </w:r>
      <w:r>
        <w:rPr>
          <w:rFonts w:hint="eastAsia" w:ascii="宋体" w:hAnsi="宋体" w:eastAsia="宋体" w:cs="宋体"/>
          <w:sz w:val="24"/>
          <w:szCs w:val="24"/>
          <w:lang w:val="en-US" w:eastAsia="zh-CN"/>
        </w:rPr>
        <w:t>将女儿的抚养权判给</w:t>
      </w:r>
      <w:r>
        <w:rPr>
          <w:rFonts w:hint="default" w:ascii="宋体" w:hAnsi="宋体" w:eastAsia="宋体" w:cs="宋体"/>
          <w:sz w:val="24"/>
          <w:szCs w:val="24"/>
          <w:lang w:val="en-US" w:eastAsia="zh-CN"/>
        </w:rPr>
        <w:t>袁某</w:t>
      </w:r>
      <w:r>
        <w:rPr>
          <w:rFonts w:hint="eastAsia" w:ascii="宋体" w:hAnsi="宋体" w:eastAsia="宋体" w:cs="宋体"/>
          <w:sz w:val="24"/>
          <w:szCs w:val="24"/>
          <w:lang w:val="en-US" w:eastAsia="zh-CN"/>
        </w:rPr>
        <w:t>。再如在李某某1诉贺某某离婚纠纷案</w:t>
      </w:r>
      <w:r>
        <w:rPr>
          <w:rStyle w:val="5"/>
          <w:rFonts w:hint="eastAsia" w:ascii="宋体" w:hAnsi="宋体" w:eastAsia="宋体" w:cs="宋体"/>
          <w:sz w:val="24"/>
          <w:szCs w:val="24"/>
          <w:lang w:val="en-US" w:eastAsia="zh-CN"/>
        </w:rPr>
        <w:footnoteReference w:id="11"/>
      </w:r>
      <w:r>
        <w:rPr>
          <w:rFonts w:hint="eastAsia" w:ascii="宋体" w:hAnsi="宋体" w:eastAsia="宋体" w:cs="宋体"/>
          <w:sz w:val="24"/>
          <w:szCs w:val="24"/>
          <w:lang w:val="en-US" w:eastAsia="zh-CN"/>
        </w:rPr>
        <w:t>中，</w:t>
      </w:r>
      <w:r>
        <w:rPr>
          <w:rFonts w:hint="eastAsia" w:ascii="宋体" w:hAnsi="宋体" w:eastAsia="宋体" w:cs="宋体"/>
          <w:b w:val="0"/>
          <w:bCs w:val="0"/>
          <w:sz w:val="24"/>
          <w:szCs w:val="24"/>
          <w:lang w:val="en-US" w:eastAsia="zh-CN"/>
        </w:rPr>
        <w:t>关于同性恋父母子女抚养问题之解决，法官认为“目前尚无先例模式可循，亦无成文法条指引，</w:t>
      </w:r>
      <w:r>
        <w:rPr>
          <w:rFonts w:ascii="宋体" w:hAnsi="宋体" w:eastAsia="宋体" w:cs="宋体"/>
          <w:color w:val="000000"/>
          <w:kern w:val="0"/>
          <w:sz w:val="25"/>
          <w:szCs w:val="25"/>
          <w:lang w:val="en-US" w:eastAsia="zh-CN" w:bidi="ar"/>
        </w:rPr>
        <w:t>仍坚持未成年子女权益最大化之原则，按有利于子女健康成长之原则来确定。</w:t>
      </w:r>
      <w:r>
        <w:rPr>
          <w:rFonts w:hint="eastAsia" w:ascii="宋体" w:hAnsi="宋体" w:eastAsia="宋体" w:cs="宋体"/>
          <w:color w:val="000000"/>
          <w:kern w:val="0"/>
          <w:sz w:val="25"/>
          <w:szCs w:val="25"/>
          <w:lang w:val="en-US" w:eastAsia="zh-CN" w:bidi="ar"/>
        </w:rPr>
        <w:t>”</w:t>
      </w:r>
    </w:p>
    <w:p w14:paraId="4CFB1E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2.亲权和探视权</w:t>
      </w:r>
    </w:p>
    <w:p w14:paraId="14537E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关于亲权和探视权问题，在4个案例中，不管孩子是否是男同性恋者生育与否，由于二人已经形成法律上的婚姻关系，法官均认定男同性恋者系孩子法律上的父母，并享有亲权和探视权。</w:t>
      </w:r>
    </w:p>
    <w:p w14:paraId="369DA5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如在黄某甲诉宋某离婚纠纷案</w:t>
      </w:r>
      <w:r>
        <w:rPr>
          <w:rStyle w:val="5"/>
          <w:rFonts w:hint="eastAsia" w:ascii="宋体" w:hAnsi="宋体" w:eastAsia="宋体" w:cs="宋体"/>
          <w:sz w:val="24"/>
          <w:szCs w:val="24"/>
          <w:lang w:val="en-US" w:eastAsia="zh-CN"/>
        </w:rPr>
        <w:footnoteReference w:id="12"/>
      </w:r>
      <w:r>
        <w:rPr>
          <w:rFonts w:hint="eastAsia" w:ascii="宋体" w:hAnsi="宋体" w:eastAsia="宋体" w:cs="宋体"/>
          <w:sz w:val="24"/>
          <w:szCs w:val="24"/>
          <w:lang w:val="en-US" w:eastAsia="zh-CN"/>
        </w:rPr>
        <w:t>中，原告（女同性恋者）认为孩子并非被告亲生，故孩子由原告抚养，被告没有探望权；被告（男同性恋者）虽同意孩子由原告抚养，但主张每两周探望孩子一次。在该案中，双方对孩子抚养权虽然达成一致意见，但双方对探望权仍有争议，争议的焦点在于原告认为孩子的生父是案外捐某者，故孩子与被告无关；而被告认为从孩子的孕育、到出生、直至对孩子的抚养，其都尽了父亲的责任，无论其是否是孩子的生父，其都认为其与孩子之间存在父子关系。对此，法官根据孩子的出生医学证明及孩子的户籍信息等相关法律事实，确认被告为孩子的父亲。根据法律规定，父母与子女间的关系，不因父母离婚而消除。因此，被告享有对孩子的探望权。</w:t>
      </w:r>
    </w:p>
    <w:p w14:paraId="7334FE6A">
      <w:pPr>
        <w:keepNext w:val="0"/>
        <w:keepLines w:val="0"/>
        <w:pageBreakBefore w:val="0"/>
        <w:widowControl w:val="0"/>
        <w:kinsoku/>
        <w:wordWrap/>
        <w:overflowPunct/>
        <w:topLinePunct w:val="0"/>
        <w:autoSpaceDE/>
        <w:autoSpaceDN/>
        <w:bidi w:val="0"/>
        <w:adjustRightInd w:val="0"/>
        <w:snapToGrid w:val="0"/>
        <w:spacing w:line="360" w:lineRule="auto"/>
        <w:ind w:firstLine="561"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b/>
          <w:bCs/>
          <w:sz w:val="28"/>
          <w:szCs w:val="28"/>
          <w:lang w:val="en-US" w:eastAsia="zh-CN"/>
        </w:rPr>
        <w:t>四、结论</w:t>
      </w:r>
    </w:p>
    <w:p w14:paraId="0A4BD7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（一）同性伴侣家庭权利的司法裁判现状总结</w:t>
      </w:r>
    </w:p>
    <w:p w14:paraId="2E3E21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1.同居中的同性伴侣不享有共同财产权</w:t>
      </w:r>
    </w:p>
    <w:p w14:paraId="08D539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对于同性伴侣间的日常开销与转账和</w:t>
      </w:r>
      <w:r>
        <w:rPr>
          <w:rFonts w:hint="default" w:ascii="宋体" w:hAnsi="宋体" w:eastAsia="宋体" w:cs="宋体"/>
          <w:sz w:val="24"/>
          <w:szCs w:val="24"/>
          <w:lang w:val="en-US" w:eastAsia="zh-CN"/>
        </w:rPr>
        <w:t>小额财物赠与</w:t>
      </w:r>
      <w:r>
        <w:rPr>
          <w:rFonts w:hint="eastAsia" w:ascii="宋体" w:hAnsi="宋体" w:eastAsia="宋体" w:cs="宋体"/>
          <w:sz w:val="24"/>
          <w:szCs w:val="24"/>
          <w:lang w:val="en-US" w:eastAsia="zh-CN"/>
        </w:rPr>
        <w:t>，多数法官</w:t>
      </w:r>
      <w:r>
        <w:rPr>
          <w:rFonts w:hint="default" w:ascii="宋体" w:hAnsi="宋体" w:eastAsia="宋体" w:cs="宋体"/>
          <w:sz w:val="24"/>
          <w:szCs w:val="24"/>
          <w:lang w:val="en-US" w:eastAsia="zh-CN"/>
        </w:rPr>
        <w:t>能够</w:t>
      </w:r>
      <w:r>
        <w:rPr>
          <w:rFonts w:hint="eastAsia" w:ascii="宋体" w:hAnsi="宋体" w:eastAsia="宋体" w:cs="宋体"/>
          <w:sz w:val="24"/>
          <w:szCs w:val="24"/>
          <w:lang w:val="en-US" w:eastAsia="zh-CN"/>
        </w:rPr>
        <w:t>在事实层面认定同性伴侣的恋爱或同居关系，进而认为在同性伴侣双方在恋爱或同居期间的经济往来和赠予属于正常。</w:t>
      </w:r>
    </w:p>
    <w:p w14:paraId="6C5EC9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但在同性伴侣间最重要的不动产上，多数法官在事实层面回避甚至未认定同性伴侣的恋爱或同居关系，未将恋爱或同居关系作为裁判的考量因素；少数法官虽然在事实层面认定了同性伴侣的同居关系，但在法律层面将同性伴侣的同居关系转换为其他关系（如合伙和朋友关系）进行处理；只有极少数法官在事实和法律层面都认定了同性伴侣的恋爱或同居关系，将同性同居期间产生的财产纠纷比照异性同居期间共同财产进行处理。此外，</w:t>
      </w:r>
      <w:r>
        <w:rPr>
          <w:rFonts w:hint="default" w:ascii="宋体" w:hAnsi="宋体" w:eastAsia="宋体" w:cs="宋体"/>
          <w:sz w:val="24"/>
          <w:szCs w:val="24"/>
          <w:lang w:val="en-US" w:eastAsia="zh-CN"/>
        </w:rPr>
        <w:t>对于大额财物赠与，法官虽然在事实层面上认定同性伴侣的恋爱关系，但</w:t>
      </w:r>
      <w:r>
        <w:rPr>
          <w:rFonts w:hint="eastAsia" w:ascii="宋体" w:hAnsi="宋体" w:eastAsia="宋体" w:cs="宋体"/>
          <w:sz w:val="24"/>
          <w:szCs w:val="24"/>
          <w:lang w:val="en-US" w:eastAsia="zh-CN"/>
        </w:rPr>
        <w:t>在分手后</w:t>
      </w:r>
      <w:r>
        <w:rPr>
          <w:rFonts w:hint="default" w:ascii="宋体" w:hAnsi="宋体" w:eastAsia="宋体" w:cs="宋体"/>
          <w:sz w:val="24"/>
          <w:szCs w:val="24"/>
          <w:lang w:val="en-US" w:eastAsia="zh-CN"/>
        </w:rPr>
        <w:t>一般</w:t>
      </w:r>
      <w:r>
        <w:rPr>
          <w:rFonts w:hint="eastAsia" w:ascii="宋体" w:hAnsi="宋体" w:eastAsia="宋体" w:cs="宋体"/>
          <w:sz w:val="24"/>
          <w:szCs w:val="24"/>
          <w:lang w:val="en-US" w:eastAsia="zh-CN"/>
        </w:rPr>
        <w:t>也</w:t>
      </w:r>
      <w:r>
        <w:rPr>
          <w:rFonts w:hint="default" w:ascii="宋体" w:hAnsi="宋体" w:eastAsia="宋体" w:cs="宋体"/>
          <w:sz w:val="24"/>
          <w:szCs w:val="24"/>
          <w:lang w:val="en-US" w:eastAsia="zh-CN"/>
        </w:rPr>
        <w:t>会要求返还。</w:t>
      </w:r>
    </w:p>
    <w:p w14:paraId="1F0F76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2.婚姻中的同性恋者享有抚养权和探视权</w:t>
      </w:r>
    </w:p>
    <w:p w14:paraId="3F8E94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在同性恋者在与异性恋者的婚姻中，同性恋者对孩子的抚养权和探视权并未受到影响，是可以正常享有并实现的。当同性恋者的配偶</w:t>
      </w:r>
      <w:r>
        <w:rPr>
          <w:rFonts w:hint="default" w:ascii="宋体" w:hAnsi="宋体" w:eastAsia="宋体" w:cs="宋体"/>
          <w:sz w:val="24"/>
          <w:szCs w:val="24"/>
          <w:lang w:val="en-US" w:eastAsia="zh-CN"/>
        </w:rPr>
        <w:t>以“同性恋不利于孩子成长”为由</w:t>
      </w:r>
      <w:r>
        <w:rPr>
          <w:rFonts w:hint="eastAsia" w:ascii="宋体" w:hAnsi="宋体" w:eastAsia="宋体" w:cs="宋体"/>
          <w:sz w:val="24"/>
          <w:szCs w:val="24"/>
          <w:lang w:val="en-US" w:eastAsia="zh-CN"/>
        </w:rPr>
        <w:t>否定同性恋者的</w:t>
      </w:r>
      <w:r>
        <w:rPr>
          <w:rFonts w:hint="default" w:ascii="宋体" w:hAnsi="宋体" w:eastAsia="宋体" w:cs="宋体"/>
          <w:sz w:val="24"/>
          <w:szCs w:val="24"/>
          <w:lang w:val="en-US" w:eastAsia="zh-CN"/>
        </w:rPr>
        <w:t>抚养权</w:t>
      </w:r>
      <w:r>
        <w:rPr>
          <w:rFonts w:hint="eastAsia" w:ascii="宋体" w:hAnsi="宋体" w:eastAsia="宋体" w:cs="宋体"/>
          <w:sz w:val="24"/>
          <w:szCs w:val="24"/>
          <w:lang w:val="en-US" w:eastAsia="zh-CN"/>
        </w:rPr>
        <w:t>与探视权时，绝大多数（93%）的法官都未认同这一观点，未将</w:t>
      </w:r>
      <w:r>
        <w:rPr>
          <w:rFonts w:hint="default" w:ascii="宋体" w:hAnsi="宋体" w:eastAsia="宋体" w:cs="宋体"/>
          <w:sz w:val="24"/>
          <w:szCs w:val="24"/>
          <w:lang w:val="en-US" w:eastAsia="zh-CN"/>
        </w:rPr>
        <w:t>同性恋性倾向</w:t>
      </w:r>
      <w:r>
        <w:rPr>
          <w:rFonts w:hint="eastAsia" w:ascii="宋体" w:hAnsi="宋体" w:eastAsia="宋体" w:cs="宋体"/>
          <w:sz w:val="24"/>
          <w:szCs w:val="24"/>
          <w:lang w:val="en-US" w:eastAsia="zh-CN"/>
        </w:rPr>
        <w:t>作为否定抚养权与探视权的依据，而是以抚养权和探视权裁判的一般规则进行裁判。</w:t>
      </w:r>
    </w:p>
    <w:p w14:paraId="7C9EF8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男同性恋者在与女同性恋者的婚姻中，男女同性恋者对孩子的抚养权和探视权也是可以正常享有并实现的。这是因为不管二人性取向如何，由于二人已经形成法律上的婚姻关系，因此都享有婚姻关系中的一切权利。关于抚养权的问题，法官按照抚养权裁判的一般标准——儿童利益最大化原则进行裁判；关于亲权和探视权问题，不管孩子是否与男同性恋者有血缘关系，法官均认定男同性恋者系孩子法律上的父母，并享有亲权和探视权。</w:t>
      </w:r>
    </w:p>
    <w:p w14:paraId="375674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（二）同性伴侣家庭权利的实现困境</w:t>
      </w:r>
    </w:p>
    <w:p w14:paraId="7BECBD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1.同居期间的共同财产无法得到保障</w:t>
      </w:r>
    </w:p>
    <w:p w14:paraId="3E9D169B">
      <w:pPr>
        <w:keepNext w:val="0"/>
        <w:keepLines w:val="0"/>
        <w:pageBreakBefore w:val="0"/>
        <w:widowControl w:val="0"/>
        <w:kinsoku/>
        <w:wordWrap/>
        <w:overflowPunct/>
        <w:topLinePunct w:val="0"/>
        <w:autoSpaceDE/>
        <w:autoSpaceDN/>
        <w:bidi w:val="0"/>
        <w:adjustRightInd w:val="0"/>
        <w:snapToGrid w:val="0"/>
        <w:spacing w:line="360" w:lineRule="auto"/>
        <w:ind w:firstLineChars="200"/>
        <w:textAlignment w:val="auto"/>
        <w:rPr>
          <w:rFonts w:hint="eastAsia" w:ascii="宋体" w:hAnsi="宋体" w:eastAsia="宋体" w:cs="宋体"/>
          <w:sz w:val="24"/>
          <w:szCs w:val="24"/>
          <w:lang w:val="en-US" w:eastAsia="zh-CN"/>
        </w:rPr>
      </w:pPr>
      <w:r>
        <w:rPr>
          <w:rFonts w:hint="eastAsia" w:ascii="宋体" w:hAnsi="宋体" w:eastAsia="宋体" w:cs="宋体"/>
          <w:caps/>
          <w:sz w:val="24"/>
          <w:szCs w:val="24"/>
          <w:lang w:val="en-US" w:eastAsia="zh-CN"/>
        </w:rPr>
        <w:t>对于同性伴侣来说，最大的困境在于同性伴侣同居期间的共同财产无法得到法律的保障，分手后的</w:t>
      </w:r>
      <w:r>
        <w:rPr>
          <w:rFonts w:hint="eastAsia" w:ascii="宋体" w:hAnsi="宋体" w:eastAsia="宋体" w:cs="宋体"/>
          <w:sz w:val="24"/>
          <w:szCs w:val="24"/>
          <w:lang w:val="en-US" w:eastAsia="zh-CN"/>
        </w:rPr>
        <w:t>财产纠纷也无法按照同居析产进行处理。</w:t>
      </w:r>
    </w:p>
    <w:p w14:paraId="05E12DBE">
      <w:pPr>
        <w:keepNext w:val="0"/>
        <w:keepLines w:val="0"/>
        <w:pageBreakBefore w:val="0"/>
        <w:widowControl w:val="0"/>
        <w:kinsoku/>
        <w:wordWrap/>
        <w:overflowPunct/>
        <w:topLinePunct w:val="0"/>
        <w:autoSpaceDE/>
        <w:autoSpaceDN/>
        <w:bidi w:val="0"/>
        <w:adjustRightInd w:val="0"/>
        <w:snapToGrid w:val="0"/>
        <w:spacing w:line="360" w:lineRule="auto"/>
        <w:ind w:firstLineChars="200"/>
        <w:textAlignment w:val="auto"/>
        <w:rPr>
          <w:rFonts w:hint="default" w:ascii="宋体" w:hAnsi="宋体" w:eastAsia="宋体" w:cs="宋体"/>
          <w:caps/>
          <w:sz w:val="24"/>
          <w:szCs w:val="24"/>
          <w:lang w:val="en-US" w:eastAsia="zh-CN"/>
        </w:rPr>
      </w:pPr>
      <w:r>
        <w:rPr>
          <w:rFonts w:hint="eastAsia" w:ascii="宋体" w:hAnsi="宋体" w:eastAsia="宋体" w:cs="宋体"/>
          <w:caps/>
          <w:sz w:val="24"/>
          <w:szCs w:val="24"/>
          <w:lang w:val="en-US" w:eastAsia="zh-CN"/>
        </w:rPr>
        <w:t>同性伴侣在共同生活期间，会购置大量的生活用品乃至于共同居住的房屋，双方的财产多混同在一起，形成事实上的、婚姻家庭意义上的共有关系。但是，在司法实践中，一方会主张二人间的同性同居关系不属于法律意义上的“同居关系”，不属于婚姻法等相关法律调整的范畴，因此不应该按照同居期间共同财产进行处理。法院一般也会同意，认为二人虽属同性恋人关系，但并非法定的婚姻家庭关系或同居关系，因此不能比照异性同居关系进行处理，双方间仅适用一般共有的相关规定。</w:t>
      </w:r>
    </w:p>
    <w:p w14:paraId="223407E7">
      <w:pPr>
        <w:keepNext w:val="0"/>
        <w:keepLines w:val="0"/>
        <w:pageBreakBefore w:val="0"/>
        <w:widowControl w:val="0"/>
        <w:kinsoku/>
        <w:wordWrap/>
        <w:overflowPunct/>
        <w:topLinePunct w:val="0"/>
        <w:autoSpaceDE/>
        <w:autoSpaceDN/>
        <w:bidi w:val="0"/>
        <w:adjustRightInd w:val="0"/>
        <w:snapToGrid w:val="0"/>
        <w:spacing w:line="360" w:lineRule="auto"/>
        <w:ind w:firstLineChars="200"/>
        <w:textAlignment w:val="auto"/>
        <w:rPr>
          <w:rFonts w:hint="eastAsia" w:ascii="宋体" w:hAnsi="宋体" w:eastAsia="宋体" w:cs="宋体"/>
          <w:caps/>
          <w:sz w:val="24"/>
          <w:szCs w:val="24"/>
          <w:lang w:val="en-US" w:eastAsia="zh-CN"/>
        </w:rPr>
      </w:pPr>
      <w:r>
        <w:rPr>
          <w:rFonts w:hint="eastAsia" w:ascii="宋体" w:hAnsi="宋体" w:eastAsia="宋体" w:cs="宋体"/>
          <w:caps/>
          <w:sz w:val="24"/>
          <w:szCs w:val="24"/>
        </w:rPr>
        <w:t>一般来说，对于同居生活期间双方共同所购置的财产的处理，1989年最高人民法院《关于人民法院审理未办结婚登记而以夫妻名义同居生活案件的若干意见》的司法解释第10条明确规定：如果双方在同居期间有共同购置的财产或有共同经营所得的收入，应当按民法中有关共有的一般规定处理，即如果查明属于按份共有关系，则按照各自的份额分享权利，如果查明属于共同共有关系，则对共有财产共同享有权利。</w:t>
      </w:r>
      <w:r>
        <w:rPr>
          <w:rStyle w:val="5"/>
          <w:rFonts w:hint="eastAsia" w:ascii="宋体" w:hAnsi="宋体" w:eastAsia="宋体" w:cs="宋体"/>
          <w:caps/>
          <w:sz w:val="24"/>
          <w:szCs w:val="24"/>
        </w:rPr>
        <w:footnoteReference w:id="13"/>
      </w:r>
      <w:r>
        <w:rPr>
          <w:rFonts w:hint="eastAsia" w:ascii="宋体" w:hAnsi="宋体" w:eastAsia="宋体" w:cs="宋体"/>
          <w:caps/>
          <w:sz w:val="24"/>
          <w:szCs w:val="24"/>
          <w:lang w:val="en-US" w:eastAsia="zh-CN"/>
        </w:rPr>
        <w:t>但是，我国法律上的“同居”</w:t>
      </w:r>
      <w:r>
        <w:rPr>
          <w:rFonts w:hint="eastAsia" w:ascii="宋体" w:hAnsi="宋体" w:eastAsia="宋体" w:cs="宋体"/>
          <w:caps/>
          <w:sz w:val="24"/>
          <w:szCs w:val="24"/>
        </w:rPr>
        <w:t>特指一男一女组成的异性同居，不包括相同性别二人组成的同居。</w:t>
      </w:r>
      <w:r>
        <w:rPr>
          <w:rFonts w:hint="eastAsia" w:ascii="宋体" w:hAnsi="宋体" w:eastAsia="宋体" w:cs="宋体"/>
          <w:caps/>
          <w:sz w:val="24"/>
          <w:szCs w:val="24"/>
          <w:lang w:val="en-US" w:eastAsia="zh-CN"/>
        </w:rPr>
        <w:t>因此</w:t>
      </w:r>
      <w:r>
        <w:rPr>
          <w:rFonts w:hint="eastAsia" w:ascii="宋体" w:hAnsi="宋体" w:eastAsia="宋体" w:cs="宋体"/>
          <w:caps/>
          <w:sz w:val="24"/>
          <w:szCs w:val="24"/>
        </w:rPr>
        <w:t>，同性同居关系</w:t>
      </w:r>
      <w:r>
        <w:rPr>
          <w:rFonts w:hint="eastAsia" w:ascii="宋体" w:hAnsi="宋体" w:eastAsia="宋体" w:cs="宋体"/>
          <w:caps/>
          <w:sz w:val="24"/>
          <w:szCs w:val="24"/>
          <w:lang w:val="en-US" w:eastAsia="zh-CN"/>
        </w:rPr>
        <w:t>无法</w:t>
      </w:r>
      <w:r>
        <w:rPr>
          <w:rFonts w:hint="eastAsia" w:ascii="宋体" w:hAnsi="宋体" w:eastAsia="宋体" w:cs="宋体"/>
          <w:caps/>
          <w:sz w:val="24"/>
          <w:szCs w:val="24"/>
        </w:rPr>
        <w:t>受到中国现行法律的调整</w:t>
      </w:r>
      <w:r>
        <w:rPr>
          <w:rFonts w:hint="eastAsia" w:ascii="宋体" w:hAnsi="宋体" w:eastAsia="宋体" w:cs="宋体"/>
          <w:caps/>
          <w:sz w:val="24"/>
          <w:szCs w:val="24"/>
          <w:lang w:val="en-US" w:eastAsia="zh-CN"/>
        </w:rPr>
        <w:t>和保障，同性伴侣的财产无法适用共有的法律规定，只能适用财产取得的一般规定。</w:t>
      </w:r>
    </w:p>
    <w:p w14:paraId="2639977C">
      <w:pPr>
        <w:keepNext w:val="0"/>
        <w:keepLines w:val="0"/>
        <w:pageBreakBefore w:val="0"/>
        <w:widowControl w:val="0"/>
        <w:kinsoku/>
        <w:wordWrap/>
        <w:overflowPunct/>
        <w:topLinePunct w:val="0"/>
        <w:autoSpaceDE/>
        <w:autoSpaceDN/>
        <w:bidi w:val="0"/>
        <w:adjustRightInd w:val="0"/>
        <w:snapToGrid w:val="0"/>
        <w:spacing w:line="360" w:lineRule="auto"/>
        <w:ind w:firstLineChars="200"/>
        <w:textAlignment w:val="auto"/>
        <w:rPr>
          <w:rFonts w:hint="eastAsia" w:ascii="宋体" w:hAnsi="宋体" w:eastAsia="宋体" w:cs="宋体"/>
          <w:caps/>
          <w:sz w:val="24"/>
          <w:szCs w:val="24"/>
        </w:rPr>
      </w:pPr>
      <w:r>
        <w:rPr>
          <w:rFonts w:hint="eastAsia" w:ascii="宋体" w:hAnsi="宋体" w:eastAsia="宋体" w:cs="宋体"/>
          <w:caps/>
          <w:sz w:val="24"/>
          <w:szCs w:val="24"/>
          <w:lang w:val="en-US" w:eastAsia="zh-CN"/>
        </w:rPr>
        <w:t>如</w:t>
      </w:r>
      <w:r>
        <w:rPr>
          <w:rFonts w:hint="eastAsia" w:ascii="宋体" w:hAnsi="宋体" w:eastAsia="宋体" w:cs="宋体"/>
          <w:caps/>
          <w:sz w:val="24"/>
          <w:szCs w:val="24"/>
        </w:rPr>
        <w:t>季斌与许为明、支长斌返还原物纠纷</w:t>
      </w:r>
      <w:r>
        <w:rPr>
          <w:rFonts w:hint="eastAsia" w:ascii="宋体" w:hAnsi="宋体" w:eastAsia="宋体" w:cs="宋体"/>
          <w:caps/>
          <w:sz w:val="24"/>
          <w:szCs w:val="24"/>
          <w:lang w:val="en-US" w:eastAsia="zh-CN"/>
        </w:rPr>
        <w:t>一</w:t>
      </w:r>
      <w:r>
        <w:rPr>
          <w:rFonts w:hint="eastAsia" w:ascii="宋体" w:hAnsi="宋体" w:eastAsia="宋体" w:cs="宋体"/>
          <w:caps/>
          <w:sz w:val="24"/>
          <w:szCs w:val="24"/>
        </w:rPr>
        <w:t>案</w:t>
      </w:r>
      <w:r>
        <w:rPr>
          <w:rStyle w:val="5"/>
          <w:rFonts w:hint="eastAsia" w:ascii="宋体" w:hAnsi="宋体" w:eastAsia="宋体" w:cs="宋体"/>
          <w:caps/>
          <w:sz w:val="24"/>
          <w:szCs w:val="24"/>
        </w:rPr>
        <w:footnoteReference w:id="14"/>
      </w:r>
      <w:r>
        <w:rPr>
          <w:rFonts w:hint="eastAsia" w:ascii="宋体" w:hAnsi="宋体" w:eastAsia="宋体" w:cs="宋体"/>
          <w:caps/>
          <w:sz w:val="24"/>
          <w:szCs w:val="24"/>
        </w:rPr>
        <w:t>，季斌与许皓相识于2004年，二人系同性恋人关系。在二人同居生活期间，季斌于2010年与一公司签订了商品房预售合同并办理了按揭贷款，于2010年至2020年支付了购房款。2016年，许皓因病死亡。后季斌与许皓父亲许为民对房产权属问题争执不下。季斌主张案涉房屋为其个人财产，许为民则认为，季斌的购房资金中有部分为许皓的出资，许皓的购房款主要来源于许为民夫妇所给费用以及工资收入，且银行贷款中有许皓偿还的部分，因此主张案涉房屋为季斌与许皓的共有财产。在该案中，许为民主张季斌与许皓系同性恋人关系，二人财产混同，因此二人所购房屋为共同共有。</w:t>
      </w:r>
      <w:r>
        <w:rPr>
          <w:rFonts w:hint="eastAsia" w:ascii="宋体" w:hAnsi="宋体" w:eastAsia="宋体" w:cs="宋体"/>
          <w:caps/>
          <w:sz w:val="24"/>
          <w:szCs w:val="24"/>
          <w:lang w:val="en-US" w:eastAsia="zh-CN"/>
        </w:rPr>
        <w:t>该案的争议焦点为：</w:t>
      </w:r>
      <w:r>
        <w:rPr>
          <w:rFonts w:hint="eastAsia" w:ascii="宋体" w:hAnsi="宋体" w:eastAsia="宋体" w:cs="宋体"/>
          <w:caps/>
          <w:sz w:val="24"/>
          <w:szCs w:val="24"/>
        </w:rPr>
        <w:t>同性同居共同生活期间，双方共同所购置的财产该如何定性进行处理？而许为民直接向法官</w:t>
      </w:r>
      <w:r>
        <w:rPr>
          <w:rFonts w:hint="eastAsia" w:ascii="宋体" w:hAnsi="宋体" w:eastAsia="宋体" w:cs="宋体"/>
          <w:caps/>
          <w:sz w:val="24"/>
          <w:szCs w:val="24"/>
          <w:lang w:val="en-US" w:eastAsia="zh-CN"/>
        </w:rPr>
        <w:t>主张</w:t>
      </w:r>
      <w:r>
        <w:rPr>
          <w:rFonts w:hint="eastAsia" w:ascii="宋体" w:hAnsi="宋体" w:eastAsia="宋体" w:cs="宋体"/>
          <w:caps/>
          <w:sz w:val="24"/>
          <w:szCs w:val="24"/>
        </w:rPr>
        <w:t>：同性同居关系</w:t>
      </w:r>
      <w:r>
        <w:rPr>
          <w:rFonts w:hint="eastAsia" w:ascii="宋体" w:hAnsi="宋体" w:eastAsia="宋体" w:cs="宋体"/>
          <w:caps/>
          <w:sz w:val="24"/>
          <w:szCs w:val="24"/>
          <w:lang w:val="en-US" w:eastAsia="zh-CN"/>
        </w:rPr>
        <w:t>应</w:t>
      </w:r>
      <w:r>
        <w:rPr>
          <w:rFonts w:hint="eastAsia" w:ascii="宋体" w:hAnsi="宋体" w:eastAsia="宋体" w:cs="宋体"/>
          <w:caps/>
          <w:sz w:val="24"/>
          <w:szCs w:val="24"/>
        </w:rPr>
        <w:t>适用中国法律上关于同居期间所得财产的相关规定。从案件事实来看，本案确系同居财产纠纷，这一点法官在事实查明部分也予以确认。只是，本案与一般的同居财产纠纷不同的是，此案并非一般意义上的异性同居，而是同性同居，而同性同居关系并未受到中国现行法律的调整。本案法官因此在判决书中明确同性恋人之间的财产关系并非《关于人民法院审理未办结婚登记而以夫妻名义同居生活案件的若干意见》的调整对象和范围，案涉房屋的权属认定应适用财产取得的一般规定。如果该案是异性同居的话，法官可认定案涉房屋为季斌和许皓共同共有，二人对共有房屋共同享有权利，许皓也可以获得部分房产份额，而不仅仅只是获得部分补偿。</w:t>
      </w:r>
    </w:p>
    <w:p w14:paraId="41EAD061">
      <w:pPr>
        <w:keepNext w:val="0"/>
        <w:keepLines w:val="0"/>
        <w:pageBreakBefore w:val="0"/>
        <w:widowControl w:val="0"/>
        <w:kinsoku/>
        <w:wordWrap/>
        <w:overflowPunct/>
        <w:topLinePunct w:val="0"/>
        <w:autoSpaceDE/>
        <w:autoSpaceDN/>
        <w:bidi w:val="0"/>
        <w:adjustRightInd w:val="0"/>
        <w:snapToGrid w:val="0"/>
        <w:spacing w:line="360" w:lineRule="auto"/>
        <w:ind w:firstLineChars="200"/>
        <w:textAlignment w:val="auto"/>
        <w:rPr>
          <w:rFonts w:hint="eastAsia" w:ascii="楷体" w:hAnsi="楷体" w:eastAsia="楷体" w:cs="楷体"/>
          <w:caps/>
          <w:sz w:val="24"/>
          <w:szCs w:val="24"/>
          <w:lang w:val="en-US" w:eastAsia="zh-CN"/>
        </w:rPr>
      </w:pPr>
      <w:r>
        <w:rPr>
          <w:rFonts w:hint="eastAsia" w:ascii="楷体" w:hAnsi="楷体" w:eastAsia="楷体" w:cs="楷体"/>
          <w:caps/>
          <w:sz w:val="24"/>
          <w:szCs w:val="24"/>
          <w:lang w:val="en-US" w:eastAsia="zh-CN"/>
        </w:rPr>
        <w:t>裁判原文：</w:t>
      </w:r>
    </w:p>
    <w:p w14:paraId="155F1070">
      <w:pPr>
        <w:keepNext w:val="0"/>
        <w:keepLines w:val="0"/>
        <w:pageBreakBefore w:val="0"/>
        <w:widowControl w:val="0"/>
        <w:kinsoku/>
        <w:wordWrap/>
        <w:overflowPunct/>
        <w:topLinePunct w:val="0"/>
        <w:autoSpaceDE/>
        <w:autoSpaceDN/>
        <w:bidi w:val="0"/>
        <w:adjustRightInd w:val="0"/>
        <w:snapToGrid w:val="0"/>
        <w:spacing w:line="360" w:lineRule="auto"/>
        <w:ind w:firstLineChars="200"/>
        <w:textAlignment w:val="auto"/>
        <w:rPr>
          <w:rFonts w:hint="eastAsia" w:ascii="楷体" w:hAnsi="楷体" w:eastAsia="楷体" w:cs="楷体"/>
          <w:caps/>
          <w:sz w:val="21"/>
          <w:szCs w:val="21"/>
          <w:lang w:eastAsia="zh-CN"/>
        </w:rPr>
      </w:pPr>
      <w:r>
        <w:rPr>
          <w:rFonts w:hint="eastAsia" w:ascii="楷体" w:hAnsi="楷体" w:eastAsia="楷体" w:cs="楷体"/>
          <w:caps/>
          <w:sz w:val="21"/>
          <w:szCs w:val="21"/>
          <w:lang w:eastAsia="zh-CN"/>
        </w:rPr>
        <w:t>“同性恋人之间的财产关系并非最高人民法院《关于人民法院审理未办结婚登记而以夫妻名义同居生活的若干意见》的调整对象和范围，同性恋人是否对外以夫妻名义长期稳定同居、财产是否系同性恋人同居期间所购置，均不能作为认定同性恋人之间财产共有的依据。本案中季斌与许某虽系同性恋人，但涉案房屋的权属认定应适用财产取得的一般规定。”</w:t>
      </w:r>
    </w:p>
    <w:p w14:paraId="7A7317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4"/>
          <w:szCs w:val="24"/>
          <w:lang w:val="en-US" w:eastAsia="zh-CN"/>
        </w:rPr>
      </w:pPr>
      <w:r>
        <w:rPr>
          <w:rFonts w:hint="eastAsia" w:ascii="楷体" w:hAnsi="楷体" w:eastAsia="楷体" w:cs="楷体"/>
          <w:caps/>
          <w:sz w:val="21"/>
          <w:szCs w:val="21"/>
          <w:lang w:val="en-US" w:eastAsia="zh-CN"/>
        </w:rPr>
        <w:t>“季斌与许皓属同性恋人关系，并非《中华人民共和国婚姻法》所调整的婚姻家庭关系或同居关系，同性伴侣同居期间无论在人身和财产关系上都具有独立性。”</w:t>
      </w:r>
    </w:p>
    <w:p w14:paraId="2F4183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2.同性伴侣通过异性婚姻实现生育权</w:t>
      </w:r>
    </w:p>
    <w:p w14:paraId="115781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如在李某某1诉贺某某离婚纠纷案</w:t>
      </w:r>
      <w:r>
        <w:rPr>
          <w:rStyle w:val="5"/>
          <w:rFonts w:hint="eastAsia" w:ascii="宋体" w:hAnsi="宋体" w:eastAsia="宋体" w:cs="宋体"/>
          <w:sz w:val="24"/>
          <w:szCs w:val="24"/>
          <w:lang w:val="en-US" w:eastAsia="zh-CN"/>
        </w:rPr>
        <w:footnoteReference w:id="15"/>
      </w:r>
      <w:r>
        <w:rPr>
          <w:rFonts w:hint="eastAsia" w:ascii="宋体" w:hAnsi="宋体" w:eastAsia="宋体" w:cs="宋体"/>
          <w:sz w:val="24"/>
          <w:szCs w:val="24"/>
          <w:lang w:val="en-US" w:eastAsia="zh-CN"/>
        </w:rPr>
        <w:t>中，李某某1和曹某某是同性恋人关系，为实现生育子女之目的，曹某某通过网络联系到同性恋者贺某某，并与李某某 1 共同作为乙方与贺某某签订《形式婚姻协议书》，约定与甲方自愿结成形式婚姻，形式婚姻期间：采取人工方式受孕，生育费用及法律责任由两方共同承担，所生子女随乙方姓，由甲乙两方共同抚养成人；乙方承诺生育二个孩子，第二个孩子抚养权归甲方。婚后，李某某1通过人工体内授精方式怀孕，并于2015年3月20 日诞下一子。初以新生儿姓名“曹原”，母亲姓名“曹某某”申领出生医学证明。后因李某某1与曹某某同性恋人关系终止，导致《形式婚姻协议书》无法继续履行，无法实现各方当初签订该协议之目的，因此诉至法院要求离婚。</w:t>
      </w:r>
    </w:p>
    <w:p w14:paraId="10227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lang w:val="en-US" w:eastAsia="zh-CN"/>
        </w:rPr>
      </w:pPr>
      <w:r>
        <w:rPr>
          <w:rFonts w:hint="eastAsia" w:ascii="宋体" w:hAnsi="宋体" w:eastAsia="宋体" w:cs="宋体"/>
          <w:sz w:val="24"/>
          <w:szCs w:val="24"/>
          <w:lang w:val="en-US" w:eastAsia="zh-CN"/>
        </w:rPr>
        <w:t>在本案中，对于李某某1和曹某某、贺某某与其同性伴侣而言，“婚姻只是外壳（形式），是解决同性关系中无法实现生育问题的手段。”</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汉仪楷体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2">
    <w:p>
      <w:r>
        <w:separator/>
      </w:r>
    </w:p>
  </w:footnote>
  <w:footnote w:type="continuationSeparator" w:id="33">
    <w:p>
      <w:r>
        <w:continuationSeparator/>
      </w:r>
    </w:p>
  </w:footnote>
  <w:footnote w:id="0">
    <w:p w14:paraId="2C33DE11">
      <w:pPr>
        <w:pStyle w:val="2"/>
        <w:keepNext w:val="0"/>
        <w:keepLines w:val="0"/>
        <w:pageBreakBefore w:val="0"/>
        <w:widowControl w:val="0"/>
        <w:kinsoku/>
        <w:wordWrap/>
        <w:overflowPunct/>
        <w:topLinePunct w:val="0"/>
        <w:bidi w:val="0"/>
        <w:adjustRightInd w:val="0"/>
        <w:snapToGrid w:val="0"/>
        <w:textAlignment w:val="auto"/>
        <w:rPr>
          <w:rFonts w:hint="eastAsia" w:ascii="宋体" w:hAnsi="宋体" w:eastAsia="宋体" w:cs="宋体"/>
          <w:lang w:eastAsia="zh-CN"/>
        </w:rPr>
      </w:pPr>
      <w:r>
        <w:rPr>
          <w:rStyle w:val="5"/>
          <w:rFonts w:hint="eastAsia" w:ascii="宋体" w:hAnsi="宋体" w:eastAsia="宋体" w:cs="宋体"/>
        </w:rPr>
        <w:footnoteRef/>
      </w:r>
      <w:r>
        <w:rPr>
          <w:rFonts w:hint="eastAsia" w:ascii="宋体" w:hAnsi="宋体" w:eastAsia="宋体" w:cs="宋体"/>
        </w:rPr>
        <w:t xml:space="preserve"> (2018)闽01民终7855号</w:t>
      </w:r>
      <w:r>
        <w:rPr>
          <w:rFonts w:hint="eastAsia" w:ascii="宋体" w:hAnsi="宋体" w:eastAsia="宋体" w:cs="宋体"/>
          <w:lang w:eastAsia="zh-CN"/>
        </w:rPr>
        <w:t>。</w:t>
      </w:r>
    </w:p>
  </w:footnote>
  <w:footnote w:id="1">
    <w:p w14:paraId="12F7FA82">
      <w:pPr>
        <w:pStyle w:val="2"/>
        <w:keepNext w:val="0"/>
        <w:keepLines w:val="0"/>
        <w:pageBreakBefore w:val="0"/>
        <w:widowControl w:val="0"/>
        <w:kinsoku/>
        <w:wordWrap/>
        <w:overflowPunct/>
        <w:topLinePunct w:val="0"/>
        <w:bidi w:val="0"/>
        <w:adjustRightInd w:val="0"/>
        <w:snapToGrid w:val="0"/>
        <w:textAlignment w:val="auto"/>
        <w:rPr>
          <w:rFonts w:hint="eastAsia" w:ascii="宋体" w:hAnsi="宋体" w:eastAsia="宋体" w:cs="宋体"/>
          <w:lang w:eastAsia="zh-CN"/>
        </w:rPr>
      </w:pPr>
      <w:r>
        <w:rPr>
          <w:rStyle w:val="5"/>
          <w:rFonts w:hint="eastAsia" w:ascii="宋体" w:hAnsi="宋体" w:eastAsia="宋体" w:cs="宋体"/>
        </w:rPr>
        <w:footnoteRef/>
      </w:r>
      <w:r>
        <w:rPr>
          <w:rFonts w:hint="eastAsia" w:ascii="宋体" w:hAnsi="宋体" w:eastAsia="宋体" w:cs="宋体"/>
        </w:rPr>
        <w:t xml:space="preserve"> (2016)粤03民终4805号</w:t>
      </w:r>
      <w:r>
        <w:rPr>
          <w:rFonts w:hint="eastAsia" w:ascii="宋体" w:hAnsi="宋体" w:eastAsia="宋体" w:cs="宋体"/>
          <w:lang w:eastAsia="zh-CN"/>
        </w:rPr>
        <w:t>。</w:t>
      </w:r>
    </w:p>
  </w:footnote>
  <w:footnote w:id="2">
    <w:p w14:paraId="7328DC4B">
      <w:pPr>
        <w:pStyle w:val="2"/>
        <w:keepNext w:val="0"/>
        <w:keepLines w:val="0"/>
        <w:pageBreakBefore w:val="0"/>
        <w:widowControl w:val="0"/>
        <w:kinsoku/>
        <w:wordWrap/>
        <w:overflowPunct/>
        <w:topLinePunct w:val="0"/>
        <w:bidi w:val="0"/>
        <w:adjustRightInd w:val="0"/>
        <w:snapToGrid w:val="0"/>
        <w:textAlignment w:val="auto"/>
        <w:rPr>
          <w:rFonts w:hint="eastAsia" w:ascii="宋体" w:hAnsi="宋体" w:eastAsia="宋体" w:cs="宋体"/>
          <w:lang w:val="en-US" w:eastAsia="zh-CN"/>
        </w:rPr>
      </w:pPr>
      <w:r>
        <w:rPr>
          <w:rStyle w:val="5"/>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北京市第一中级人民法院：“恋爱期间送出的礼物，分手后能否要回？”，载https://bj1zy.bjcourt.gov.cn/article/detail/2019/09/id/4479720.shtml，最后访问日期：2025年1月14日。</w:t>
      </w:r>
    </w:p>
  </w:footnote>
  <w:footnote w:id="3">
    <w:p w14:paraId="517E5FB6">
      <w:pPr>
        <w:pStyle w:val="2"/>
        <w:keepNext w:val="0"/>
        <w:keepLines w:val="0"/>
        <w:pageBreakBefore w:val="0"/>
        <w:widowControl w:val="0"/>
        <w:kinsoku/>
        <w:wordWrap/>
        <w:overflowPunct/>
        <w:topLinePunct w:val="0"/>
        <w:bidi w:val="0"/>
        <w:adjustRightInd w:val="0"/>
        <w:snapToGrid w:val="0"/>
        <w:textAlignment w:val="auto"/>
        <w:rPr>
          <w:rFonts w:hint="eastAsia" w:ascii="宋体" w:hAnsi="宋体" w:eastAsia="宋体" w:cs="宋体"/>
          <w:lang w:eastAsia="zh-CN"/>
        </w:rPr>
      </w:pPr>
      <w:r>
        <w:rPr>
          <w:rStyle w:val="5"/>
          <w:rFonts w:hint="eastAsia" w:ascii="宋体" w:hAnsi="宋体" w:eastAsia="宋体" w:cs="宋体"/>
        </w:rPr>
        <w:footnoteRef/>
      </w:r>
      <w:r>
        <w:rPr>
          <w:rFonts w:hint="eastAsia" w:ascii="宋体" w:hAnsi="宋体" w:eastAsia="宋体" w:cs="宋体"/>
        </w:rPr>
        <w:t xml:space="preserve"> (2016)沪0112民初27533号</w:t>
      </w:r>
      <w:r>
        <w:rPr>
          <w:rFonts w:hint="eastAsia" w:ascii="宋体" w:hAnsi="宋体" w:eastAsia="宋体" w:cs="宋体"/>
          <w:lang w:eastAsia="zh-CN"/>
        </w:rPr>
        <w:t>，(2017)沪01民终9745号。</w:t>
      </w:r>
    </w:p>
  </w:footnote>
  <w:footnote w:id="4">
    <w:p w14:paraId="1483C732">
      <w:pPr>
        <w:pStyle w:val="2"/>
        <w:keepNext w:val="0"/>
        <w:keepLines w:val="0"/>
        <w:pageBreakBefore w:val="0"/>
        <w:widowControl w:val="0"/>
        <w:kinsoku/>
        <w:wordWrap/>
        <w:overflowPunct/>
        <w:topLinePunct w:val="0"/>
        <w:bidi w:val="0"/>
        <w:adjustRightInd w:val="0"/>
        <w:snapToGrid w:val="0"/>
        <w:textAlignment w:val="auto"/>
        <w:rPr>
          <w:rFonts w:hint="eastAsia" w:ascii="宋体" w:hAnsi="宋体" w:eastAsia="宋体" w:cs="宋体"/>
        </w:rPr>
      </w:pPr>
      <w:r>
        <w:rPr>
          <w:rStyle w:val="5"/>
          <w:rFonts w:hint="eastAsia" w:ascii="宋体" w:hAnsi="宋体" w:eastAsia="宋体" w:cs="宋体"/>
        </w:rPr>
        <w:footnoteRef/>
      </w:r>
      <w:r>
        <w:rPr>
          <w:rFonts w:hint="eastAsia" w:ascii="宋体" w:hAnsi="宋体" w:eastAsia="宋体" w:cs="宋体"/>
        </w:rPr>
        <w:t xml:space="preserve"> (2016)黔0326民初778号</w:t>
      </w:r>
    </w:p>
  </w:footnote>
  <w:footnote w:id="5">
    <w:p w14:paraId="2FB9F98B">
      <w:pPr>
        <w:pStyle w:val="2"/>
        <w:keepNext w:val="0"/>
        <w:keepLines w:val="0"/>
        <w:pageBreakBefore w:val="0"/>
        <w:widowControl w:val="0"/>
        <w:kinsoku/>
        <w:wordWrap/>
        <w:overflowPunct/>
        <w:topLinePunct w:val="0"/>
        <w:bidi w:val="0"/>
        <w:adjustRightInd w:val="0"/>
        <w:snapToGrid w:val="0"/>
        <w:spacing w:line="240" w:lineRule="auto"/>
        <w:ind w:firstLine="0"/>
        <w:textAlignment w:val="auto"/>
        <w:rPr>
          <w:rFonts w:hint="eastAsia" w:ascii="宋体" w:hAnsi="宋体" w:eastAsia="宋体" w:cs="宋体"/>
        </w:rPr>
      </w:pPr>
      <w:r>
        <w:rPr>
          <w:rStyle w:val="5"/>
          <w:rFonts w:hint="eastAsia" w:ascii="宋体" w:hAnsi="宋体" w:eastAsia="宋体" w:cs="宋体"/>
        </w:rPr>
        <w:footnoteRef/>
      </w:r>
      <w:r>
        <w:rPr>
          <w:rFonts w:hint="eastAsia" w:ascii="宋体" w:hAnsi="宋体" w:eastAsia="宋体" w:cs="宋体"/>
        </w:rPr>
        <w:t xml:space="preserve"> (2013)石高民一初字第00280号。</w:t>
      </w:r>
    </w:p>
  </w:footnote>
  <w:footnote w:id="6">
    <w:p w14:paraId="61B1E35F">
      <w:pPr>
        <w:pStyle w:val="2"/>
        <w:keepNext w:val="0"/>
        <w:keepLines w:val="0"/>
        <w:pageBreakBefore w:val="0"/>
        <w:widowControl w:val="0"/>
        <w:kinsoku/>
        <w:wordWrap/>
        <w:overflowPunct/>
        <w:topLinePunct w:val="0"/>
        <w:bidi w:val="0"/>
        <w:adjustRightInd w:val="0"/>
        <w:snapToGrid w:val="0"/>
        <w:spacing w:line="240" w:lineRule="auto"/>
        <w:ind w:firstLine="0"/>
        <w:textAlignment w:val="auto"/>
        <w:rPr>
          <w:rFonts w:hint="eastAsia" w:ascii="宋体" w:hAnsi="宋体" w:eastAsia="宋体" w:cs="宋体"/>
        </w:rPr>
      </w:pPr>
      <w:r>
        <w:rPr>
          <w:rStyle w:val="5"/>
          <w:rFonts w:hint="eastAsia" w:ascii="宋体" w:hAnsi="宋体" w:eastAsia="宋体" w:cs="宋体"/>
        </w:rPr>
        <w:footnoteRef/>
      </w:r>
      <w:r>
        <w:rPr>
          <w:rFonts w:hint="eastAsia" w:ascii="宋体" w:hAnsi="宋体" w:eastAsia="宋体" w:cs="宋体"/>
        </w:rPr>
        <w:t xml:space="preserve"> 最高人民法院《关于人民法院审理离婚案件处理子女抚养问题的若干具体意见》的司法解释第3条第4款：对两周岁以上未成年的子女，父方和母方均要求随其生活，一方有下列情形之一的，可予优先考虑：（4）子女随其生活，对子女成长有利，而另一方患有久治不愈的传染性疾病或其他严重疾病，或者有其他不利于子女身心健康的情形，不宜与子女共同生活的。</w:t>
      </w:r>
    </w:p>
  </w:footnote>
  <w:footnote w:id="7">
    <w:p w14:paraId="582B0F83">
      <w:pPr>
        <w:pStyle w:val="2"/>
        <w:keepNext w:val="0"/>
        <w:keepLines w:val="0"/>
        <w:pageBreakBefore w:val="0"/>
        <w:widowControl w:val="0"/>
        <w:kinsoku/>
        <w:wordWrap/>
        <w:overflowPunct/>
        <w:topLinePunct w:val="0"/>
        <w:bidi w:val="0"/>
        <w:adjustRightInd w:val="0"/>
        <w:snapToGrid w:val="0"/>
        <w:spacing w:line="240" w:lineRule="auto"/>
        <w:ind w:firstLine="0"/>
        <w:textAlignment w:val="auto"/>
        <w:rPr>
          <w:rFonts w:hint="eastAsia" w:ascii="宋体" w:hAnsi="宋体" w:eastAsia="宋体" w:cs="宋体"/>
          <w:b/>
          <w:bCs/>
        </w:rPr>
      </w:pPr>
      <w:r>
        <w:rPr>
          <w:rStyle w:val="5"/>
          <w:rFonts w:hint="eastAsia" w:ascii="宋体" w:hAnsi="宋体" w:eastAsia="宋体" w:cs="宋体"/>
        </w:rPr>
        <w:footnoteRef/>
      </w:r>
      <w:r>
        <w:rPr>
          <w:rFonts w:hint="eastAsia" w:ascii="宋体" w:hAnsi="宋体" w:eastAsia="宋体" w:cs="宋体"/>
        </w:rPr>
        <w:t xml:space="preserve"> 参见最高人民法院《关于人民法院审理离婚案件处理子女抚养问题的若干具体意见》的司法解释。</w:t>
      </w:r>
    </w:p>
  </w:footnote>
  <w:footnote w:id="8">
    <w:p w14:paraId="6937EFC6">
      <w:pPr>
        <w:pStyle w:val="2"/>
        <w:keepNext w:val="0"/>
        <w:keepLines w:val="0"/>
        <w:pageBreakBefore w:val="0"/>
        <w:widowControl w:val="0"/>
        <w:kinsoku/>
        <w:wordWrap/>
        <w:overflowPunct/>
        <w:topLinePunct w:val="0"/>
        <w:bidi w:val="0"/>
        <w:adjustRightInd w:val="0"/>
        <w:snapToGrid w:val="0"/>
        <w:textAlignment w:val="auto"/>
        <w:rPr>
          <w:rFonts w:hint="eastAsia" w:ascii="宋体" w:hAnsi="宋体" w:eastAsia="宋体" w:cs="宋体"/>
          <w:lang w:eastAsia="zh-CN"/>
        </w:rPr>
      </w:pPr>
      <w:r>
        <w:rPr>
          <w:rStyle w:val="5"/>
          <w:rFonts w:hint="eastAsia" w:ascii="宋体" w:hAnsi="宋体" w:eastAsia="宋体" w:cs="宋体"/>
        </w:rPr>
        <w:footnoteRef/>
      </w:r>
      <w:r>
        <w:rPr>
          <w:rFonts w:hint="eastAsia" w:ascii="宋体" w:hAnsi="宋体" w:eastAsia="宋体" w:cs="宋体"/>
        </w:rPr>
        <w:t xml:space="preserve"> (2013)大民初字第12062号</w:t>
      </w:r>
      <w:r>
        <w:rPr>
          <w:rFonts w:hint="eastAsia" w:ascii="宋体" w:hAnsi="宋体" w:eastAsia="宋体" w:cs="宋体"/>
          <w:lang w:eastAsia="zh-CN"/>
        </w:rPr>
        <w:t>。</w:t>
      </w:r>
    </w:p>
  </w:footnote>
  <w:footnote w:id="9">
    <w:p w14:paraId="6E87595D">
      <w:pPr>
        <w:pStyle w:val="2"/>
        <w:keepNext w:val="0"/>
        <w:keepLines w:val="0"/>
        <w:pageBreakBefore w:val="0"/>
        <w:widowControl w:val="0"/>
        <w:kinsoku/>
        <w:wordWrap/>
        <w:overflowPunct/>
        <w:topLinePunct w:val="0"/>
        <w:bidi w:val="0"/>
        <w:adjustRightInd w:val="0"/>
        <w:snapToGrid w:val="0"/>
        <w:textAlignment w:val="auto"/>
        <w:rPr>
          <w:rFonts w:hint="eastAsia" w:ascii="宋体" w:hAnsi="宋体" w:eastAsia="宋体" w:cs="宋体"/>
          <w:lang w:eastAsia="zh-CN"/>
        </w:rPr>
      </w:pPr>
      <w:r>
        <w:rPr>
          <w:rStyle w:val="5"/>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val="en-US" w:eastAsia="zh-CN"/>
        </w:rPr>
        <w:t>284:</w:t>
      </w:r>
      <w:r>
        <w:rPr>
          <w:rFonts w:hint="eastAsia" w:ascii="宋体" w:hAnsi="宋体" w:eastAsia="宋体" w:cs="宋体"/>
        </w:rPr>
        <w:t>(2015)锡滨民初字第02594号</w:t>
      </w:r>
      <w:r>
        <w:rPr>
          <w:rFonts w:hint="eastAsia" w:ascii="宋体" w:hAnsi="宋体" w:eastAsia="宋体" w:cs="宋体"/>
          <w:lang w:eastAsia="zh-CN"/>
        </w:rPr>
        <w:t>。</w:t>
      </w:r>
    </w:p>
  </w:footnote>
  <w:footnote w:id="10">
    <w:p w14:paraId="4B47743A">
      <w:pPr>
        <w:pStyle w:val="2"/>
        <w:keepNext w:val="0"/>
        <w:keepLines w:val="0"/>
        <w:pageBreakBefore w:val="0"/>
        <w:widowControl w:val="0"/>
        <w:kinsoku/>
        <w:wordWrap/>
        <w:overflowPunct/>
        <w:topLinePunct w:val="0"/>
        <w:bidi w:val="0"/>
        <w:adjustRightInd w:val="0"/>
        <w:snapToGrid w:val="0"/>
        <w:textAlignment w:val="auto"/>
        <w:rPr>
          <w:rFonts w:hint="eastAsia" w:ascii="宋体" w:hAnsi="宋体" w:eastAsia="宋体" w:cs="宋体"/>
          <w:lang w:eastAsia="zh-CN"/>
        </w:rPr>
      </w:pPr>
      <w:r>
        <w:rPr>
          <w:rStyle w:val="5"/>
          <w:rFonts w:hint="eastAsia" w:ascii="宋体" w:hAnsi="宋体" w:eastAsia="宋体" w:cs="宋体"/>
        </w:rPr>
        <w:footnoteRef/>
      </w:r>
      <w:r>
        <w:rPr>
          <w:rFonts w:hint="eastAsia" w:ascii="宋体" w:hAnsi="宋体" w:eastAsia="宋体" w:cs="宋体"/>
        </w:rPr>
        <w:t xml:space="preserve"> (2015)锡滨民初字第02594号</w:t>
      </w:r>
      <w:r>
        <w:rPr>
          <w:rFonts w:hint="eastAsia" w:ascii="宋体" w:hAnsi="宋体" w:eastAsia="宋体" w:cs="宋体"/>
          <w:lang w:eastAsia="zh-CN"/>
        </w:rPr>
        <w:t>。</w:t>
      </w:r>
    </w:p>
  </w:footnote>
  <w:footnote w:id="11">
    <w:p w14:paraId="0F8140A1">
      <w:pPr>
        <w:pStyle w:val="2"/>
        <w:keepNext w:val="0"/>
        <w:keepLines w:val="0"/>
        <w:pageBreakBefore w:val="0"/>
        <w:widowControl w:val="0"/>
        <w:kinsoku/>
        <w:wordWrap/>
        <w:overflowPunct/>
        <w:topLinePunct w:val="0"/>
        <w:bidi w:val="0"/>
        <w:adjustRightInd w:val="0"/>
        <w:snapToGrid w:val="0"/>
        <w:textAlignment w:val="auto"/>
        <w:rPr>
          <w:rFonts w:hint="eastAsia" w:ascii="宋体" w:hAnsi="宋体" w:eastAsia="宋体" w:cs="宋体"/>
          <w:lang w:eastAsia="zh-CN"/>
        </w:rPr>
      </w:pPr>
      <w:r>
        <w:rPr>
          <w:rStyle w:val="5"/>
          <w:rFonts w:hint="eastAsia" w:ascii="宋体" w:hAnsi="宋体" w:eastAsia="宋体" w:cs="宋体"/>
        </w:rPr>
        <w:footnoteRef/>
      </w:r>
      <w:r>
        <w:rPr>
          <w:rFonts w:hint="eastAsia" w:ascii="宋体" w:hAnsi="宋体" w:eastAsia="宋体" w:cs="宋体"/>
        </w:rPr>
        <w:t xml:space="preserve"> (2017)苏11民终1890号</w:t>
      </w:r>
      <w:r>
        <w:rPr>
          <w:rFonts w:hint="eastAsia" w:ascii="宋体" w:hAnsi="宋体" w:eastAsia="宋体" w:cs="宋体"/>
          <w:lang w:eastAsia="zh-CN"/>
        </w:rPr>
        <w:t>。</w:t>
      </w:r>
    </w:p>
  </w:footnote>
  <w:footnote w:id="12">
    <w:p w14:paraId="2D2B9D88">
      <w:pPr>
        <w:pStyle w:val="2"/>
        <w:keepNext w:val="0"/>
        <w:keepLines w:val="0"/>
        <w:pageBreakBefore w:val="0"/>
        <w:widowControl w:val="0"/>
        <w:kinsoku/>
        <w:wordWrap/>
        <w:overflowPunct/>
        <w:topLinePunct w:val="0"/>
        <w:bidi w:val="0"/>
        <w:adjustRightInd w:val="0"/>
        <w:snapToGrid w:val="0"/>
        <w:textAlignment w:val="auto"/>
        <w:rPr>
          <w:rFonts w:hint="eastAsia" w:ascii="宋体" w:hAnsi="宋体" w:eastAsia="宋体" w:cs="宋体"/>
          <w:lang w:eastAsia="zh-CN"/>
        </w:rPr>
      </w:pPr>
      <w:r>
        <w:rPr>
          <w:rStyle w:val="5"/>
          <w:rFonts w:hint="eastAsia" w:ascii="宋体" w:hAnsi="宋体" w:eastAsia="宋体" w:cs="宋体"/>
        </w:rPr>
        <w:footnoteRef/>
      </w:r>
      <w:r>
        <w:rPr>
          <w:rFonts w:hint="eastAsia" w:ascii="宋体" w:hAnsi="宋体" w:eastAsia="宋体" w:cs="宋体"/>
        </w:rPr>
        <w:t xml:space="preserve"> 2015)虹民一(民)初字第3400号</w:t>
      </w:r>
      <w:r>
        <w:rPr>
          <w:rFonts w:hint="eastAsia" w:ascii="宋体" w:hAnsi="宋体" w:eastAsia="宋体" w:cs="宋体"/>
          <w:lang w:eastAsia="zh-CN"/>
        </w:rPr>
        <w:t>，(2016)沪02民终1929号。</w:t>
      </w:r>
    </w:p>
  </w:footnote>
  <w:footnote w:id="13">
    <w:p w14:paraId="6AC9807C">
      <w:pPr>
        <w:pStyle w:val="2"/>
        <w:keepNext w:val="0"/>
        <w:keepLines w:val="0"/>
        <w:pageBreakBefore w:val="0"/>
        <w:widowControl w:val="0"/>
        <w:kinsoku/>
        <w:wordWrap/>
        <w:overflowPunct/>
        <w:topLinePunct w:val="0"/>
        <w:bidi w:val="0"/>
        <w:adjustRightInd w:val="0"/>
        <w:snapToGrid w:val="0"/>
        <w:spacing w:line="240" w:lineRule="auto"/>
        <w:ind w:firstLine="0"/>
        <w:textAlignment w:val="auto"/>
        <w:rPr>
          <w:rFonts w:hint="eastAsia" w:ascii="宋体" w:hAnsi="宋体" w:eastAsia="宋体" w:cs="宋体"/>
        </w:rPr>
      </w:pPr>
      <w:r>
        <w:rPr>
          <w:rStyle w:val="5"/>
          <w:rFonts w:hint="eastAsia" w:ascii="宋体" w:hAnsi="宋体" w:eastAsia="宋体" w:cs="宋体"/>
        </w:rPr>
        <w:footnoteRef/>
      </w:r>
      <w:r>
        <w:rPr>
          <w:rFonts w:hint="eastAsia" w:ascii="宋体" w:hAnsi="宋体" w:eastAsia="宋体" w:cs="宋体"/>
        </w:rPr>
        <w:t>参见王芳：“同居期间所得财产的处理规则”，载林方华主编：《民事审判指导与参考（总第67辑）》，人民法院出版社2016年版，第185-187页。</w:t>
      </w:r>
    </w:p>
  </w:footnote>
  <w:footnote w:id="14">
    <w:p w14:paraId="10CA3278">
      <w:pPr>
        <w:pStyle w:val="2"/>
        <w:keepNext w:val="0"/>
        <w:keepLines w:val="0"/>
        <w:pageBreakBefore w:val="0"/>
        <w:widowControl w:val="0"/>
        <w:kinsoku/>
        <w:wordWrap/>
        <w:overflowPunct/>
        <w:topLinePunct w:val="0"/>
        <w:bidi w:val="0"/>
        <w:adjustRightInd w:val="0"/>
        <w:snapToGrid w:val="0"/>
        <w:spacing w:line="240" w:lineRule="auto"/>
        <w:ind w:firstLine="0"/>
        <w:textAlignment w:val="auto"/>
        <w:rPr>
          <w:rFonts w:hint="eastAsia" w:ascii="宋体" w:hAnsi="宋体" w:eastAsia="宋体" w:cs="宋体"/>
        </w:rPr>
      </w:pPr>
      <w:r>
        <w:rPr>
          <w:rStyle w:val="5"/>
          <w:rFonts w:hint="eastAsia" w:ascii="宋体" w:hAnsi="宋体" w:eastAsia="宋体" w:cs="宋体"/>
        </w:rPr>
        <w:footnoteRef/>
      </w:r>
      <w:r>
        <w:rPr>
          <w:rFonts w:hint="eastAsia" w:ascii="宋体" w:hAnsi="宋体" w:eastAsia="宋体" w:cs="宋体"/>
        </w:rPr>
        <w:t xml:space="preserve"> (2018)苏01民终7358号。</w:t>
      </w:r>
    </w:p>
  </w:footnote>
  <w:footnote w:id="15">
    <w:p w14:paraId="21A48BAB">
      <w:pPr>
        <w:pStyle w:val="2"/>
        <w:keepNext w:val="0"/>
        <w:keepLines w:val="0"/>
        <w:pageBreakBefore w:val="0"/>
        <w:widowControl w:val="0"/>
        <w:kinsoku/>
        <w:wordWrap/>
        <w:overflowPunct/>
        <w:topLinePunct w:val="0"/>
        <w:bidi w:val="0"/>
        <w:adjustRightInd w:val="0"/>
        <w:snapToGrid w:val="0"/>
        <w:textAlignment w:val="auto"/>
        <w:rPr>
          <w:rFonts w:hint="eastAsia" w:ascii="宋体" w:hAnsi="宋体" w:eastAsia="宋体" w:cs="宋体"/>
          <w:lang w:eastAsia="zh-CN"/>
        </w:rPr>
      </w:pPr>
      <w:r>
        <w:rPr>
          <w:rStyle w:val="5"/>
          <w:rFonts w:hint="eastAsia" w:ascii="宋体" w:hAnsi="宋体" w:eastAsia="宋体" w:cs="宋体"/>
        </w:rPr>
        <w:footnoteRef/>
      </w:r>
      <w:r>
        <w:rPr>
          <w:rFonts w:hint="eastAsia" w:ascii="宋体" w:hAnsi="宋体" w:eastAsia="宋体" w:cs="宋体"/>
        </w:rPr>
        <w:t xml:space="preserve"> (2017)苏11民终1890号</w:t>
      </w:r>
      <w:r>
        <w:rPr>
          <w:rFonts w:hint="eastAsia" w:ascii="宋体" w:hAnsi="宋体" w:eastAsia="宋体" w:cs="宋体"/>
          <w:lang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32"/>
    <w:footnote w:id="3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3265D"/>
    <w:rsid w:val="0FBFBD22"/>
    <w:rsid w:val="2B7F45CB"/>
    <w:rsid w:val="2BFF881D"/>
    <w:rsid w:val="2DF3DFBA"/>
    <w:rsid w:val="36FFE78E"/>
    <w:rsid w:val="37EE12FF"/>
    <w:rsid w:val="3A570BCA"/>
    <w:rsid w:val="3ADF6611"/>
    <w:rsid w:val="3BFA535A"/>
    <w:rsid w:val="5677E735"/>
    <w:rsid w:val="63F7FFD1"/>
    <w:rsid w:val="6FBEB66C"/>
    <w:rsid w:val="6FDDD8D8"/>
    <w:rsid w:val="6FFF3A27"/>
    <w:rsid w:val="746B59A8"/>
    <w:rsid w:val="76FB133A"/>
    <w:rsid w:val="77FDFB35"/>
    <w:rsid w:val="79BD0813"/>
    <w:rsid w:val="7D7A65AF"/>
    <w:rsid w:val="7DA7E2D4"/>
    <w:rsid w:val="7FFDF315"/>
    <w:rsid w:val="7FFE5BF5"/>
    <w:rsid w:val="8C54A3E3"/>
    <w:rsid w:val="9CF66E2E"/>
    <w:rsid w:val="9F7ECC1D"/>
    <w:rsid w:val="AAFFEBB4"/>
    <w:rsid w:val="B3BF88AF"/>
    <w:rsid w:val="BC3E18D6"/>
    <w:rsid w:val="BEEBA8D2"/>
    <w:rsid w:val="BF89F390"/>
    <w:rsid w:val="BFAD6642"/>
    <w:rsid w:val="CD5CA8DF"/>
    <w:rsid w:val="D7DE616F"/>
    <w:rsid w:val="EBBFBCC7"/>
    <w:rsid w:val="EBE3DC2B"/>
    <w:rsid w:val="EBEBC1D2"/>
    <w:rsid w:val="EFFB4601"/>
    <w:rsid w:val="EFFDF7B1"/>
    <w:rsid w:val="EFFF47B1"/>
    <w:rsid w:val="F7E76832"/>
    <w:rsid w:val="F7F7110A"/>
    <w:rsid w:val="FBB6F183"/>
    <w:rsid w:val="FBECB6A4"/>
    <w:rsid w:val="FDF3265D"/>
    <w:rsid w:val="FF7C1F6C"/>
    <w:rsid w:val="FFBF153F"/>
    <w:rsid w:val="FFD90057"/>
    <w:rsid w:val="FFEBE3F1"/>
    <w:rsid w:val="FFF4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semiHidden/>
    <w:unhideWhenUsed/>
    <w:uiPriority w:val="99"/>
    <w:pPr>
      <w:snapToGrid w:val="0"/>
      <w:jc w:val="left"/>
    </w:pPr>
    <w:rPr>
      <w:sz w:val="18"/>
      <w:szCs w:val="18"/>
    </w:rPr>
  </w:style>
  <w:style w:type="character" w:styleId="5">
    <w:name w:val="footnote reference"/>
    <w:basedOn w:val="4"/>
    <w:semiHidden/>
    <w:unhideWhenUsed/>
    <w:uiPriority w:val="99"/>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ettings" Target="settings.xml"/><Relationship Id="rId16" Type="http://schemas.openxmlformats.org/officeDocument/2006/relationships/customXml" Target="../customXml/item3.xml"/><Relationship Id="rId6" Type="http://schemas.openxmlformats.org/officeDocument/2006/relationships/chart" Target="charts/chart2.xml"/><Relationship Id="rId11" Type="http://schemas.openxmlformats.org/officeDocument/2006/relationships/chart" Target="charts/chart7.xml"/><Relationship Id="rId1" Type="http://schemas.openxmlformats.org/officeDocument/2006/relationships/styles" Target="styles.xml"/><Relationship Id="rId5" Type="http://schemas.openxmlformats.org/officeDocument/2006/relationships/chart" Target="charts/chart1.xml"/><Relationship Id="rId15" Type="http://schemas.openxmlformats.org/officeDocument/2006/relationships/customXml" Target="../customXml/item2.xml"/><Relationship Id="rId10" Type="http://schemas.openxmlformats.org/officeDocument/2006/relationships/chart" Target="charts/chart6.xml"/><Relationship Id="rId9" Type="http://schemas.openxmlformats.org/officeDocument/2006/relationships/chart" Target="charts/chart5.xml"/><Relationship Id="rId4" Type="http://schemas.openxmlformats.org/officeDocument/2006/relationships/theme" Target="theme/theme1.xml"/><Relationship Id="rId14" Type="http://schemas.openxmlformats.org/officeDocument/2006/relationships/customXml" Target="../customXml/item1.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同性伴侣财产纠纷的年份分布</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Sheet1!$B$2:$B$10</c:f>
              <c:numCache>
                <c:formatCode>General</c:formatCode>
                <c:ptCount val="9"/>
                <c:pt idx="0">
                  <c:v>8</c:v>
                </c:pt>
                <c:pt idx="1">
                  <c:v>7</c:v>
                </c:pt>
                <c:pt idx="2">
                  <c:v>3</c:v>
                </c:pt>
                <c:pt idx="3">
                  <c:v>10</c:v>
                </c:pt>
                <c:pt idx="4">
                  <c:v>11</c:v>
                </c:pt>
                <c:pt idx="5">
                  <c:v>9</c:v>
                </c:pt>
                <c:pt idx="6">
                  <c:v>19</c:v>
                </c:pt>
                <c:pt idx="7">
                  <c:v>22</c:v>
                </c:pt>
                <c:pt idx="8">
                  <c:v>2</c:v>
                </c:pt>
              </c:numCache>
            </c:numRef>
          </c:val>
        </c:ser>
        <c:dLbls>
          <c:showLegendKey val="0"/>
          <c:showVal val="1"/>
          <c:showCatName val="0"/>
          <c:showSerName val="0"/>
          <c:showPercent val="0"/>
          <c:showBubbleSize val="0"/>
        </c:dLbls>
        <c:gapWidth val="246"/>
        <c:overlap val="-28"/>
        <c:axId val="552970299"/>
        <c:axId val="948061939"/>
      </c:barChart>
      <c:catAx>
        <c:axId val="5529702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8061939"/>
        <c:crosses val="autoZero"/>
        <c:auto val="1"/>
        <c:lblAlgn val="ctr"/>
        <c:lblOffset val="100"/>
        <c:noMultiLvlLbl val="0"/>
      </c:catAx>
      <c:valAx>
        <c:axId val="94806193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2970299"/>
        <c:crosses val="autoZero"/>
        <c:crossBetween val="between"/>
      </c:valAx>
      <c:spPr>
        <a:noFill/>
        <a:ln>
          <a:noFill/>
        </a:ln>
        <a:effectLst/>
      </c:spPr>
    </c:plotArea>
    <c:plotVisOnly val="1"/>
    <c:dispBlanksAs val="gap"/>
    <c:showDLblsOverMax val="0"/>
    <c:extLst>
      <c:ext uri="{0b15fc19-7d7d-44ad-8c2d-2c3a37ce22c3}">
        <chartProps xmlns="https://web.wps.cn/et/2018/main" chartId="{b2c73f55-f317-4de4-9ea1-e0d8ba57cc9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抚养权和探视权纠纷的年份分布</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2012</c:v>
                </c:pt>
                <c:pt idx="1">
                  <c:v>2013</c:v>
                </c:pt>
                <c:pt idx="2">
                  <c:v>2014</c:v>
                </c:pt>
                <c:pt idx="3">
                  <c:v>2015</c:v>
                </c:pt>
                <c:pt idx="4">
                  <c:v>2016</c:v>
                </c:pt>
                <c:pt idx="5">
                  <c:v>2017</c:v>
                </c:pt>
                <c:pt idx="6">
                  <c:v>2019</c:v>
                </c:pt>
              </c:numCache>
            </c:numRef>
          </c:cat>
          <c:val>
            <c:numRef>
              <c:f>Sheet1!$B$2:$B$8</c:f>
              <c:numCache>
                <c:formatCode>General</c:formatCode>
                <c:ptCount val="7"/>
                <c:pt idx="0">
                  <c:v>1</c:v>
                </c:pt>
                <c:pt idx="1">
                  <c:v>2</c:v>
                </c:pt>
                <c:pt idx="2">
                  <c:v>2</c:v>
                </c:pt>
                <c:pt idx="3">
                  <c:v>6</c:v>
                </c:pt>
                <c:pt idx="4">
                  <c:v>5</c:v>
                </c:pt>
                <c:pt idx="5">
                  <c:v>1</c:v>
                </c:pt>
                <c:pt idx="6">
                  <c:v>1</c:v>
                </c:pt>
              </c:numCache>
            </c:numRef>
          </c:val>
        </c:ser>
        <c:dLbls>
          <c:showLegendKey val="0"/>
          <c:showVal val="1"/>
          <c:showCatName val="0"/>
          <c:showSerName val="0"/>
          <c:showPercent val="0"/>
          <c:showBubbleSize val="0"/>
        </c:dLbls>
        <c:gapWidth val="246"/>
        <c:overlap val="-28"/>
        <c:axId val="426778169"/>
        <c:axId val="312237992"/>
      </c:barChart>
      <c:catAx>
        <c:axId val="4267781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2237992"/>
        <c:crosses val="autoZero"/>
        <c:auto val="1"/>
        <c:lblAlgn val="ctr"/>
        <c:lblOffset val="100"/>
        <c:noMultiLvlLbl val="0"/>
      </c:catAx>
      <c:valAx>
        <c:axId val="31223799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6778169"/>
        <c:crosses val="autoZero"/>
        <c:crossBetween val="between"/>
      </c:valAx>
      <c:spPr>
        <a:noFill/>
        <a:ln>
          <a:noFill/>
        </a:ln>
        <a:effectLst/>
      </c:spPr>
    </c:plotArea>
    <c:plotVisOnly val="1"/>
    <c:dispBlanksAs val="gap"/>
    <c:showDLblsOverMax val="0"/>
    <c:extLst>
      <c:ext uri="{0b15fc19-7d7d-44ad-8c2d-2c3a37ce22c3}">
        <chartProps xmlns="https://web.wps.cn/et/2018/main" chartId="{c10d3f0c-115a-49fe-b672-689fed9505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同性伴侣财产纠纷的地域分布</a:t>
            </a:r>
            <a:endParaRPr lang="en-US" altLang="zh-CN"/>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Sheet1!$A$2:$A$23</c:f>
              <c:strCache>
                <c:ptCount val="22"/>
                <c:pt idx="0">
                  <c:v>新疆</c:v>
                </c:pt>
                <c:pt idx="1">
                  <c:v>黑龙江</c:v>
                </c:pt>
                <c:pt idx="2">
                  <c:v>贵州</c:v>
                </c:pt>
                <c:pt idx="3">
                  <c:v>重庆</c:v>
                </c:pt>
                <c:pt idx="4">
                  <c:v>山西</c:v>
                </c:pt>
                <c:pt idx="5">
                  <c:v>辽宁</c:v>
                </c:pt>
                <c:pt idx="6">
                  <c:v>江西</c:v>
                </c:pt>
                <c:pt idx="7">
                  <c:v>吉林</c:v>
                </c:pt>
                <c:pt idx="8">
                  <c:v>河南</c:v>
                </c:pt>
                <c:pt idx="9">
                  <c:v>安徽</c:v>
                </c:pt>
                <c:pt idx="10">
                  <c:v>浙江</c:v>
                </c:pt>
                <c:pt idx="11">
                  <c:v>云南</c:v>
                </c:pt>
                <c:pt idx="12">
                  <c:v>陕西</c:v>
                </c:pt>
                <c:pt idx="13">
                  <c:v>河北</c:v>
                </c:pt>
                <c:pt idx="14">
                  <c:v>福建</c:v>
                </c:pt>
                <c:pt idx="15">
                  <c:v>湖南</c:v>
                </c:pt>
                <c:pt idx="16">
                  <c:v>四川</c:v>
                </c:pt>
                <c:pt idx="17">
                  <c:v>北京</c:v>
                </c:pt>
                <c:pt idx="18">
                  <c:v>山东</c:v>
                </c:pt>
                <c:pt idx="19">
                  <c:v>江苏</c:v>
                </c:pt>
                <c:pt idx="20">
                  <c:v>广东</c:v>
                </c:pt>
                <c:pt idx="21">
                  <c:v>上海</c:v>
                </c:pt>
              </c:strCache>
            </c:strRef>
          </c:cat>
          <c:val>
            <c:numRef>
              <c:f>Sheet1!$B$2:$B$23</c:f>
              <c:numCache>
                <c:formatCode>General</c:formatCode>
                <c:ptCount val="22"/>
                <c:pt idx="0">
                  <c:v>1</c:v>
                </c:pt>
                <c:pt idx="1">
                  <c:v>1</c:v>
                </c:pt>
                <c:pt idx="2">
                  <c:v>1</c:v>
                </c:pt>
                <c:pt idx="3">
                  <c:v>2</c:v>
                </c:pt>
                <c:pt idx="4">
                  <c:v>2</c:v>
                </c:pt>
                <c:pt idx="5">
                  <c:v>2</c:v>
                </c:pt>
                <c:pt idx="6">
                  <c:v>2</c:v>
                </c:pt>
                <c:pt idx="7">
                  <c:v>2</c:v>
                </c:pt>
                <c:pt idx="8">
                  <c:v>2</c:v>
                </c:pt>
                <c:pt idx="9">
                  <c:v>2</c:v>
                </c:pt>
                <c:pt idx="10">
                  <c:v>3</c:v>
                </c:pt>
                <c:pt idx="11">
                  <c:v>3</c:v>
                </c:pt>
                <c:pt idx="12">
                  <c:v>3</c:v>
                </c:pt>
                <c:pt idx="13">
                  <c:v>3</c:v>
                </c:pt>
                <c:pt idx="14">
                  <c:v>3</c:v>
                </c:pt>
                <c:pt idx="15">
                  <c:v>4</c:v>
                </c:pt>
                <c:pt idx="16">
                  <c:v>5</c:v>
                </c:pt>
                <c:pt idx="17">
                  <c:v>5</c:v>
                </c:pt>
                <c:pt idx="18">
                  <c:v>8</c:v>
                </c:pt>
                <c:pt idx="19">
                  <c:v>8</c:v>
                </c:pt>
                <c:pt idx="20">
                  <c:v>9</c:v>
                </c:pt>
                <c:pt idx="21">
                  <c:v>20</c:v>
                </c:pt>
              </c:numCache>
            </c:numRef>
          </c:val>
        </c:ser>
        <c:dLbls>
          <c:showLegendKey val="0"/>
          <c:showVal val="1"/>
          <c:showCatName val="0"/>
          <c:showSerName val="0"/>
          <c:showPercent val="0"/>
          <c:showBubbleSize val="0"/>
        </c:dLbls>
        <c:gapWidth val="140"/>
        <c:overlap val="-40"/>
        <c:axId val="928694861"/>
        <c:axId val="89581054"/>
      </c:barChart>
      <c:catAx>
        <c:axId val="928694861"/>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81054"/>
        <c:crosses val="autoZero"/>
        <c:auto val="1"/>
        <c:lblAlgn val="ctr"/>
        <c:lblOffset val="100"/>
        <c:noMultiLvlLbl val="0"/>
      </c:catAx>
      <c:valAx>
        <c:axId val="89581054"/>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8694861"/>
        <c:crosses val="autoZero"/>
        <c:crossBetween val="between"/>
      </c:valAx>
      <c:spPr>
        <a:noFill/>
        <a:ln>
          <a:noFill/>
        </a:ln>
        <a:effectLst/>
      </c:spPr>
    </c:plotArea>
    <c:plotVisOnly val="1"/>
    <c:dispBlanksAs val="gap"/>
    <c:showDLblsOverMax val="0"/>
    <c:extLst>
      <c:ext uri="{0b15fc19-7d7d-44ad-8c2d-2c3a37ce22c3}">
        <chartProps xmlns="https://web.wps.cn/et/2018/main" chartId="{21d26927-8d31-4112-bf40-779a16ecab4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抚养权和探视权纠纷的地域分布</a:t>
            </a:r>
            <a:endParaRPr lang="en-US" altLang="zh-CN"/>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河北</c:v>
                </c:pt>
                <c:pt idx="1">
                  <c:v>辽宁</c:v>
                </c:pt>
                <c:pt idx="2">
                  <c:v>贵州</c:v>
                </c:pt>
                <c:pt idx="3">
                  <c:v>山西</c:v>
                </c:pt>
                <c:pt idx="4">
                  <c:v>广西</c:v>
                </c:pt>
                <c:pt idx="5">
                  <c:v>湖南</c:v>
                </c:pt>
                <c:pt idx="6">
                  <c:v>天津</c:v>
                </c:pt>
                <c:pt idx="7">
                  <c:v>广东</c:v>
                </c:pt>
                <c:pt idx="8">
                  <c:v>江苏</c:v>
                </c:pt>
                <c:pt idx="9">
                  <c:v>北京</c:v>
                </c:pt>
                <c:pt idx="10">
                  <c:v>上海</c:v>
                </c:pt>
              </c:strCache>
            </c:strRef>
          </c:cat>
          <c:val>
            <c:numRef>
              <c:f>Sheet1!$B$2:$B$12</c:f>
              <c:numCache>
                <c:formatCode>General</c:formatCode>
                <c:ptCount val="11"/>
                <c:pt idx="0">
                  <c:v>1</c:v>
                </c:pt>
                <c:pt idx="1">
                  <c:v>1</c:v>
                </c:pt>
                <c:pt idx="2">
                  <c:v>1</c:v>
                </c:pt>
                <c:pt idx="3">
                  <c:v>1</c:v>
                </c:pt>
                <c:pt idx="4">
                  <c:v>1</c:v>
                </c:pt>
                <c:pt idx="5">
                  <c:v>1</c:v>
                </c:pt>
                <c:pt idx="6">
                  <c:v>1</c:v>
                </c:pt>
                <c:pt idx="7">
                  <c:v>2</c:v>
                </c:pt>
                <c:pt idx="8">
                  <c:v>2</c:v>
                </c:pt>
                <c:pt idx="9">
                  <c:v>3</c:v>
                </c:pt>
                <c:pt idx="10">
                  <c:v>4</c:v>
                </c:pt>
              </c:numCache>
            </c:numRef>
          </c:val>
        </c:ser>
        <c:dLbls>
          <c:showLegendKey val="0"/>
          <c:showVal val="1"/>
          <c:showCatName val="0"/>
          <c:showSerName val="0"/>
          <c:showPercent val="0"/>
          <c:showBubbleSize val="0"/>
        </c:dLbls>
        <c:gapWidth val="140"/>
        <c:overlap val="-40"/>
        <c:axId val="73895377"/>
        <c:axId val="460088481"/>
      </c:barChart>
      <c:catAx>
        <c:axId val="73895377"/>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0088481"/>
        <c:crosses val="autoZero"/>
        <c:auto val="1"/>
        <c:lblAlgn val="ctr"/>
        <c:lblOffset val="100"/>
        <c:noMultiLvlLbl val="0"/>
      </c:catAx>
      <c:valAx>
        <c:axId val="460088481"/>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895377"/>
        <c:crosses val="autoZero"/>
        <c:crossBetween val="between"/>
      </c:valAx>
      <c:spPr>
        <a:noFill/>
        <a:ln>
          <a:noFill/>
        </a:ln>
        <a:effectLst/>
      </c:spPr>
    </c:plotArea>
    <c:plotVisOnly val="1"/>
    <c:dispBlanksAs val="gap"/>
    <c:showDLblsOverMax val="0"/>
    <c:extLst>
      <c:ext uri="{0b15fc19-7d7d-44ad-8c2d-2c3a37ce22c3}">
        <chartProps xmlns="https://web.wps.cn/et/2018/main" chartId="{cfc3ef39-abe5-4897-9d96-794a12e3de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同性伴侣财产纠纷的性别和性向倾分布</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女同性恋伴侣</c:v>
                </c:pt>
                <c:pt idx="1">
                  <c:v>男同性恋伴侣</c:v>
                </c:pt>
                <c:pt idx="2">
                  <c:v>未知</c:v>
                </c:pt>
              </c:strCache>
            </c:strRef>
          </c:cat>
          <c:val>
            <c:numRef>
              <c:f>Sheet1!$B$2:$B$4</c:f>
              <c:numCache>
                <c:formatCode>General</c:formatCode>
                <c:ptCount val="3"/>
                <c:pt idx="0">
                  <c:v>48</c:v>
                </c:pt>
                <c:pt idx="1">
                  <c:v>30</c:v>
                </c:pt>
                <c:pt idx="2">
                  <c:v>13</c:v>
                </c:pt>
              </c:numCache>
            </c:numRef>
          </c:val>
        </c:ser>
        <c:dLbls>
          <c:showLegendKey val="0"/>
          <c:showVal val="1"/>
          <c:showCatName val="0"/>
          <c:showSerName val="0"/>
          <c:showPercent val="0"/>
          <c:showBubbleSize val="0"/>
        </c:dLbls>
        <c:gapWidth val="246"/>
        <c:overlap val="-28"/>
        <c:axId val="295370152"/>
        <c:axId val="939921139"/>
      </c:barChart>
      <c:catAx>
        <c:axId val="2953701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921139"/>
        <c:crosses val="autoZero"/>
        <c:auto val="1"/>
        <c:lblAlgn val="ctr"/>
        <c:lblOffset val="100"/>
        <c:noMultiLvlLbl val="0"/>
      </c:catAx>
      <c:valAx>
        <c:axId val="93992113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5370152"/>
        <c:crosses val="autoZero"/>
        <c:crossBetween val="between"/>
      </c:valAx>
      <c:spPr>
        <a:noFill/>
        <a:ln>
          <a:noFill/>
        </a:ln>
        <a:effectLst/>
      </c:spPr>
    </c:plotArea>
    <c:plotVisOnly val="1"/>
    <c:dispBlanksAs val="gap"/>
    <c:showDLblsOverMax val="0"/>
    <c:extLst>
      <c:ext uri="{0b15fc19-7d7d-44ad-8c2d-2c3a37ce22c3}">
        <chartProps xmlns="https://web.wps.cn/et/2018/main" chartId="{9b82743f-c535-4859-9cc4-b0b7ea06577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同性伴侣财产纠纷的种类</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借贷纠纷</c:v>
                </c:pt>
                <c:pt idx="1">
                  <c:v>房产纠纷</c:v>
                </c:pt>
                <c:pt idx="2">
                  <c:v>日常开销与转账</c:v>
                </c:pt>
                <c:pt idx="3">
                  <c:v>赠予纠纷</c:v>
                </c:pt>
                <c:pt idx="4">
                  <c:v>分手费纠纷</c:v>
                </c:pt>
                <c:pt idx="5">
                  <c:v>其他涉及金钱给付的纠纷</c:v>
                </c:pt>
              </c:strCache>
            </c:strRef>
          </c:cat>
          <c:val>
            <c:numRef>
              <c:f>Sheet1!$B$2:$B$7</c:f>
              <c:numCache>
                <c:formatCode>General</c:formatCode>
                <c:ptCount val="6"/>
                <c:pt idx="0">
                  <c:v>37</c:v>
                </c:pt>
                <c:pt idx="1">
                  <c:v>18</c:v>
                </c:pt>
                <c:pt idx="2">
                  <c:v>17</c:v>
                </c:pt>
                <c:pt idx="3">
                  <c:v>9</c:v>
                </c:pt>
                <c:pt idx="4">
                  <c:v>3</c:v>
                </c:pt>
                <c:pt idx="5">
                  <c:v>10</c:v>
                </c:pt>
              </c:numCache>
            </c:numRef>
          </c:val>
        </c:ser>
        <c:dLbls>
          <c:showLegendKey val="0"/>
          <c:showVal val="1"/>
          <c:showCatName val="0"/>
          <c:showSerName val="0"/>
          <c:showPercent val="0"/>
          <c:showBubbleSize val="0"/>
        </c:dLbls>
        <c:gapWidth val="246"/>
        <c:overlap val="-28"/>
        <c:axId val="367189162"/>
        <c:axId val="791248346"/>
      </c:barChart>
      <c:catAx>
        <c:axId val="3671891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1248346"/>
        <c:crosses val="autoZero"/>
        <c:auto val="1"/>
        <c:lblAlgn val="ctr"/>
        <c:lblOffset val="100"/>
        <c:noMultiLvlLbl val="0"/>
      </c:catAx>
      <c:valAx>
        <c:axId val="79124834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7189162"/>
        <c:crosses val="autoZero"/>
        <c:crossBetween val="between"/>
      </c:valAx>
      <c:spPr>
        <a:noFill/>
        <a:ln>
          <a:noFill/>
        </a:ln>
        <a:effectLst/>
      </c:spPr>
    </c:plotArea>
    <c:plotVisOnly val="1"/>
    <c:dispBlanksAs val="gap"/>
    <c:showDLblsOverMax val="0"/>
    <c:extLst>
      <c:ext uri="{0b15fc19-7d7d-44ad-8c2d-2c3a37ce22c3}">
        <chartProps xmlns="https://web.wps.cn/et/2018/main" chartId="{3b694b02-bd2b-4008-9d7c-f9f044765e8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抚养权和探视权纠纷的种类</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同性恋不利于孩子成长</c:v>
                </c:pt>
                <c:pt idx="1">
                  <c:v>变更抚养权</c:v>
                </c:pt>
                <c:pt idx="2">
                  <c:v>形婚纠纷</c:v>
                </c:pt>
                <c:pt idx="3">
                  <c:v>确认探视权</c:v>
                </c:pt>
              </c:strCache>
            </c:strRef>
          </c:cat>
          <c:val>
            <c:numRef>
              <c:f>Sheet1!$B$2:$B$5</c:f>
              <c:numCache>
                <c:formatCode>General</c:formatCode>
                <c:ptCount val="4"/>
                <c:pt idx="0">
                  <c:v>8</c:v>
                </c:pt>
                <c:pt idx="1">
                  <c:v>5</c:v>
                </c:pt>
                <c:pt idx="2">
                  <c:v>4</c:v>
                </c:pt>
                <c:pt idx="3">
                  <c:v>1</c:v>
                </c:pt>
              </c:numCache>
            </c:numRef>
          </c:val>
        </c:ser>
        <c:dLbls>
          <c:showLegendKey val="0"/>
          <c:showVal val="1"/>
          <c:showCatName val="0"/>
          <c:showSerName val="0"/>
          <c:showPercent val="0"/>
          <c:showBubbleSize val="0"/>
        </c:dLbls>
        <c:gapWidth val="246"/>
        <c:overlap val="-28"/>
        <c:axId val="380701076"/>
        <c:axId val="761531150"/>
      </c:barChart>
      <c:catAx>
        <c:axId val="3807010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1531150"/>
        <c:crosses val="autoZero"/>
        <c:auto val="1"/>
        <c:lblAlgn val="ctr"/>
        <c:lblOffset val="100"/>
        <c:noMultiLvlLbl val="0"/>
      </c:catAx>
      <c:valAx>
        <c:axId val="76153115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0701076"/>
        <c:crosses val="autoZero"/>
        <c:crossBetween val="between"/>
      </c:valAx>
      <c:spPr>
        <a:noFill/>
        <a:ln>
          <a:noFill/>
        </a:ln>
        <a:effectLst/>
      </c:spPr>
    </c:plotArea>
    <c:plotVisOnly val="1"/>
    <c:dispBlanksAs val="gap"/>
    <c:showDLblsOverMax val="0"/>
    <c:extLst>
      <c:ext uri="{0b15fc19-7d7d-44ad-8c2d-2c3a37ce22c3}">
        <chartProps xmlns="https://web.wps.cn/et/2018/main" chartId="{5cc386d9-5498-4cfb-9744-bd8f610f08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1" i="0" u="none" strike="noStrike" kern="1200" baseline="0">
                <a:solidFill>
                  <a:schemeClr val="tx1">
                    <a:lumMod val="75000"/>
                    <a:lumOff val="25000"/>
                  </a:schemeClr>
                </a:solidFill>
                <a:latin typeface="+mn-lt"/>
                <a:ea typeface="+mn-ea"/>
                <a:cs typeface="+mn-cs"/>
              </a:defRPr>
            </a:pPr>
            <a:r>
              <a:rPr lang="en-US" altLang="zh-CN" sz="1050"/>
              <a:t>法官对日常开销与转账为借款或不当得利的主张之态度</a:t>
            </a:r>
            <a:endParaRPr sz="1050"/>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支持</c:v>
                </c:pt>
                <c:pt idx="1">
                  <c:v>部分支持</c:v>
                </c:pt>
                <c:pt idx="2">
                  <c:v>不支持</c:v>
                </c:pt>
              </c:strCache>
            </c:strRef>
          </c:cat>
          <c:val>
            <c:numRef>
              <c:f>Sheet1!$B$2:$B$4</c:f>
              <c:numCache>
                <c:formatCode>General</c:formatCode>
                <c:ptCount val="3"/>
                <c:pt idx="0">
                  <c:v>2</c:v>
                </c:pt>
                <c:pt idx="1">
                  <c:v>5</c:v>
                </c:pt>
                <c:pt idx="2">
                  <c:v>10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622f9ce-c6cb-4d8c-ad36-ff896695da33}"/>
      </c:ext>
    </c:extLst>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7856CB70E334B8D6BB6BC40181DE2" ma:contentTypeVersion="13" ma:contentTypeDescription="Create a new document." ma:contentTypeScope="" ma:versionID="67d9df668016fbfe40953d9f6afe049d">
  <xsd:schema xmlns:xsd="http://www.w3.org/2001/XMLSchema" xmlns:xs="http://www.w3.org/2001/XMLSchema" xmlns:p="http://schemas.microsoft.com/office/2006/metadata/properties" xmlns:ns2="e98de1c9-ed08-4c7b-a994-a51a34365c1b" xmlns:ns3="83d63b42-2059-4ddb-8266-7940e6cd0c7e" targetNamespace="http://schemas.microsoft.com/office/2006/metadata/properties" ma:root="true" ma:fieldsID="f222a05e1ae5c632c9926dd73e71f1ef" ns2:_="" ns3:_="">
    <xsd:import namespace="e98de1c9-ed08-4c7b-a994-a51a34365c1b"/>
    <xsd:import namespace="83d63b42-2059-4ddb-8266-7940e6cd0c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de1c9-ed08-4c7b-a994-a51a34365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b62b19-075d-47f7-8b52-481c95c932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63b42-2059-4ddb-8266-7940e6cd0c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d9593f-67d7-4421-bd70-c94bec0f69ae}" ma:internalName="TaxCatchAll" ma:showField="CatchAllData" ma:web="83d63b42-2059-4ddb-8266-7940e6cd0c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d63b42-2059-4ddb-8266-7940e6cd0c7e" xsi:nil="true"/>
    <lcf76f155ced4ddcb4097134ff3c332f xmlns="e98de1c9-ed08-4c7b-a994-a51a34365c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918E23-9547-4BCC-8D91-4FE17BF843AC}"/>
</file>

<file path=customXml/itemProps2.xml><?xml version="1.0" encoding="utf-8"?>
<ds:datastoreItem xmlns:ds="http://schemas.openxmlformats.org/officeDocument/2006/customXml" ds:itemID="{A02C4D7F-943F-40AE-8937-5846379462D1}"/>
</file>

<file path=customXml/itemProps3.xml><?xml version="1.0" encoding="utf-8"?>
<ds:datastoreItem xmlns:ds="http://schemas.openxmlformats.org/officeDocument/2006/customXml" ds:itemID="{A51F87C4-B444-4AF7-8891-40124F749963}"/>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8</TotalTime>
  <ScaleCrop>false</ScaleCrop>
  <LinksUpToDate>false</LinksUpToDate>
  <CharactersWithSpaces>0</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WPS_1621493850</dc:creator>
  <cp:lastModifiedBy>WPS_1621493850</cp:lastModifiedBy>
  <cp:revision>1</cp:revision>
  <dcterms:created xsi:type="dcterms:W3CDTF">2025-01-16T12:20:00Z</dcterms:created>
  <dcterms:modified xsi:type="dcterms:W3CDTF">2025-01-16T15:48:56Z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F2C628FE1A75A6F9E919896750904B71_43</vt:lpwstr>
  </property>
  <property fmtid="{D5CDD505-2E9C-101B-9397-08002B2CF9AE}" pid="4" name="ContentTypeId">
    <vt:lpwstr>0x010100D2D7856CB70E334B8D6BB6BC40181DE2</vt:lpwstr>
  </property>
</Properties>
</file>